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575F" w14:textId="77777777" w:rsidR="003C46F3" w:rsidRPr="00385A9E" w:rsidRDefault="00A51C1A" w:rsidP="00CE03AA">
      <w:pPr>
        <w:spacing w:before="120" w:after="120"/>
        <w:ind w:left="1440"/>
        <w:jc w:val="center"/>
        <w:rPr>
          <w:b/>
          <w:sz w:val="26"/>
          <w:szCs w:val="26"/>
        </w:rPr>
      </w:pPr>
      <w:r w:rsidRPr="00385A9E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885ACDD" wp14:editId="754C33D1">
            <wp:simplePos x="0" y="0"/>
            <wp:positionH relativeFrom="column">
              <wp:posOffset>5633331</wp:posOffset>
            </wp:positionH>
            <wp:positionV relativeFrom="paragraph">
              <wp:posOffset>105574</wp:posOffset>
            </wp:positionV>
            <wp:extent cx="1238250" cy="1238250"/>
            <wp:effectExtent l="0" t="0" r="0" b="0"/>
            <wp:wrapSquare wrapText="bothSides"/>
            <wp:docPr id="2" name="Picture 1" descr="State of New Jersey, Department of Educati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tate-seal2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A9E">
        <w:rPr>
          <w:b/>
          <w:sz w:val="26"/>
          <w:szCs w:val="26"/>
        </w:rPr>
        <w:t>New Jersey Department of Education</w:t>
      </w:r>
    </w:p>
    <w:p w14:paraId="080E71E0" w14:textId="4697DE39" w:rsidR="00AD16EE" w:rsidRPr="00617072" w:rsidRDefault="00AD16EE" w:rsidP="00CE03AA">
      <w:pPr>
        <w:pStyle w:val="Heading1"/>
        <w:ind w:left="1170" w:hanging="90"/>
        <w:rPr>
          <w:szCs w:val="24"/>
        </w:rPr>
      </w:pPr>
      <w:r w:rsidRPr="00617072">
        <w:rPr>
          <w:szCs w:val="24"/>
        </w:rPr>
        <w:t>Determining At</w:t>
      </w:r>
      <w:r w:rsidR="00BA0078" w:rsidRPr="00617072">
        <w:rPr>
          <w:szCs w:val="24"/>
        </w:rPr>
        <w:t>-</w:t>
      </w:r>
      <w:r w:rsidRPr="00617072">
        <w:rPr>
          <w:szCs w:val="24"/>
        </w:rPr>
        <w:t>Risk Status Based on NJ</w:t>
      </w:r>
      <w:r w:rsidR="00CE03AA">
        <w:rPr>
          <w:szCs w:val="24"/>
        </w:rPr>
        <w:t>DOE</w:t>
      </w:r>
      <w:r w:rsidRPr="00617072">
        <w:rPr>
          <w:szCs w:val="24"/>
        </w:rPr>
        <w:t xml:space="preserve"> Household Information Survey</w:t>
      </w:r>
      <w:r w:rsidR="00BA0078" w:rsidRPr="00617072">
        <w:rPr>
          <w:szCs w:val="24"/>
        </w:rPr>
        <w:br/>
      </w:r>
      <w:r w:rsidR="002F0579" w:rsidRPr="00617072">
        <w:rPr>
          <w:szCs w:val="24"/>
        </w:rPr>
        <w:t>FY202</w:t>
      </w:r>
      <w:r w:rsidR="00ED28B1">
        <w:rPr>
          <w:szCs w:val="24"/>
        </w:rPr>
        <w:t>2</w:t>
      </w:r>
      <w:r w:rsidR="002F0579" w:rsidRPr="00617072">
        <w:rPr>
          <w:szCs w:val="24"/>
        </w:rPr>
        <w:t xml:space="preserve"> </w:t>
      </w:r>
      <w:r w:rsidRPr="00617072">
        <w:rPr>
          <w:szCs w:val="24"/>
        </w:rPr>
        <w:t>Quick Reference Guide for Schools Participating in CEP</w:t>
      </w:r>
    </w:p>
    <w:p w14:paraId="2D334590" w14:textId="0FFA59EA" w:rsidR="00E817DE" w:rsidRPr="00223D9F" w:rsidRDefault="00E817DE" w:rsidP="00CE03AA">
      <w:pPr>
        <w:ind w:left="720" w:firstLine="450"/>
        <w:jc w:val="center"/>
        <w:rPr>
          <w:b/>
          <w:color w:val="8A0000"/>
          <w:sz w:val="22"/>
        </w:rPr>
      </w:pPr>
      <w:r w:rsidRPr="00223D9F">
        <w:rPr>
          <w:b/>
          <w:color w:val="8A0000"/>
          <w:sz w:val="22"/>
          <w:highlight w:val="lightGray"/>
        </w:rPr>
        <w:t>Applicable only for schools participating in the Community Eligibility Provision</w:t>
      </w:r>
    </w:p>
    <w:p w14:paraId="23007F14" w14:textId="1EF35F8C" w:rsidR="0083094C" w:rsidRPr="00223D9F" w:rsidRDefault="00AD16EE" w:rsidP="00BA0078">
      <w:pPr>
        <w:rPr>
          <w:sz w:val="22"/>
        </w:rPr>
      </w:pPr>
      <w:r w:rsidRPr="00223D9F">
        <w:rPr>
          <w:sz w:val="22"/>
        </w:rPr>
        <w:t>These guidelines should be used</w:t>
      </w:r>
      <w:r w:rsidR="0025050B">
        <w:rPr>
          <w:sz w:val="22"/>
        </w:rPr>
        <w:t xml:space="preserve"> by</w:t>
      </w:r>
      <w:r w:rsidRPr="00223D9F">
        <w:rPr>
          <w:sz w:val="22"/>
        </w:rPr>
        <w:t xml:space="preserve"> </w:t>
      </w:r>
      <w:r w:rsidR="0025050B">
        <w:rPr>
          <w:sz w:val="22"/>
        </w:rPr>
        <w:t xml:space="preserve">all </w:t>
      </w:r>
      <w:proofErr w:type="gramStart"/>
      <w:r w:rsidR="0025050B">
        <w:rPr>
          <w:sz w:val="22"/>
        </w:rPr>
        <w:t>public school</w:t>
      </w:r>
      <w:proofErr w:type="gramEnd"/>
      <w:r w:rsidR="005E0732">
        <w:rPr>
          <w:sz w:val="22"/>
        </w:rPr>
        <w:t xml:space="preserve"> district</w:t>
      </w:r>
      <w:r w:rsidR="0025050B">
        <w:rPr>
          <w:sz w:val="22"/>
        </w:rPr>
        <w:t>s, charter schools, and APSSDs that</w:t>
      </w:r>
      <w:r w:rsidR="0025050B" w:rsidRPr="00223D9F">
        <w:rPr>
          <w:sz w:val="22"/>
        </w:rPr>
        <w:t xml:space="preserve"> </w:t>
      </w:r>
      <w:r w:rsidR="0025050B">
        <w:rPr>
          <w:sz w:val="22"/>
        </w:rPr>
        <w:t>offer free lunch to all students through t</w:t>
      </w:r>
      <w:r w:rsidR="0025050B" w:rsidRPr="00223D9F">
        <w:rPr>
          <w:sz w:val="22"/>
        </w:rPr>
        <w:t>he Community Eligibility Provision (CEP)</w:t>
      </w:r>
      <w:r w:rsidR="0025050B">
        <w:rPr>
          <w:sz w:val="22"/>
        </w:rPr>
        <w:t xml:space="preserve"> </w:t>
      </w:r>
      <w:r w:rsidRPr="00223D9F">
        <w:rPr>
          <w:sz w:val="22"/>
        </w:rPr>
        <w:t>for reporting</w:t>
      </w:r>
      <w:r w:rsidR="0025050B">
        <w:rPr>
          <w:sz w:val="22"/>
        </w:rPr>
        <w:t xml:space="preserve"> student </w:t>
      </w:r>
      <w:r w:rsidR="004B62A3" w:rsidRPr="00223D9F">
        <w:rPr>
          <w:sz w:val="22"/>
        </w:rPr>
        <w:t>income s</w:t>
      </w:r>
      <w:r w:rsidR="007F2BE9" w:rsidRPr="00223D9F">
        <w:rPr>
          <w:sz w:val="22"/>
        </w:rPr>
        <w:t xml:space="preserve">tatus in NJSMART, </w:t>
      </w:r>
      <w:r w:rsidRPr="00223D9F">
        <w:rPr>
          <w:sz w:val="22"/>
        </w:rPr>
        <w:t>the Application for State School Aid (ASSA)</w:t>
      </w:r>
      <w:r w:rsidR="007F2BE9" w:rsidRPr="00223D9F">
        <w:rPr>
          <w:sz w:val="22"/>
        </w:rPr>
        <w:t>, and the Charter Enrollment System</w:t>
      </w:r>
      <w:r w:rsidR="005E0732">
        <w:rPr>
          <w:sz w:val="22"/>
        </w:rPr>
        <w:t>.</w:t>
      </w:r>
    </w:p>
    <w:p w14:paraId="61EAC39A" w14:textId="220761B4" w:rsidR="00A01817" w:rsidRPr="00223D9F" w:rsidRDefault="00AD16EE" w:rsidP="00055891">
      <w:pPr>
        <w:rPr>
          <w:sz w:val="22"/>
        </w:rPr>
      </w:pPr>
      <w:r w:rsidRPr="00223D9F">
        <w:rPr>
          <w:sz w:val="22"/>
        </w:rPr>
        <w:t xml:space="preserve">Pursuant to </w:t>
      </w:r>
      <w:r w:rsidRPr="00223D9F">
        <w:rPr>
          <w:i/>
          <w:sz w:val="22"/>
        </w:rPr>
        <w:t>N.J.S.A.</w:t>
      </w:r>
      <w:r w:rsidRPr="00223D9F">
        <w:rPr>
          <w:sz w:val="22"/>
        </w:rPr>
        <w:t xml:space="preserve"> 18A:7F</w:t>
      </w:r>
      <w:r w:rsidR="00F7241A" w:rsidRPr="00223D9F">
        <w:rPr>
          <w:sz w:val="22"/>
        </w:rPr>
        <w:t>-</w:t>
      </w:r>
      <w:r w:rsidRPr="00223D9F">
        <w:rPr>
          <w:sz w:val="22"/>
        </w:rPr>
        <w:t>33 school districts are required to report the number of at</w:t>
      </w:r>
      <w:r w:rsidR="00BA0078" w:rsidRPr="00223D9F">
        <w:rPr>
          <w:sz w:val="22"/>
        </w:rPr>
        <w:t>-</w:t>
      </w:r>
      <w:r w:rsidRPr="00223D9F">
        <w:rPr>
          <w:sz w:val="22"/>
        </w:rPr>
        <w:t>risk pupils on the last school day prior to October 16. At</w:t>
      </w:r>
      <w:r w:rsidR="00BA0078" w:rsidRPr="00223D9F">
        <w:rPr>
          <w:sz w:val="22"/>
        </w:rPr>
        <w:t>-</w:t>
      </w:r>
      <w:r w:rsidRPr="00223D9F">
        <w:rPr>
          <w:sz w:val="22"/>
        </w:rPr>
        <w:t>risk pupils are defined as pupils from households with a household income at or below the most recent federal poverty guidelines ava</w:t>
      </w:r>
      <w:r w:rsidR="008D5443" w:rsidRPr="00223D9F">
        <w:rPr>
          <w:sz w:val="22"/>
        </w:rPr>
        <w:t>ilable on October 15 of the pre</w:t>
      </w:r>
      <w:r w:rsidRPr="00223D9F">
        <w:rPr>
          <w:sz w:val="22"/>
        </w:rPr>
        <w:t>budget year multiplied by 1.85.</w:t>
      </w:r>
      <w:r w:rsidR="00055891">
        <w:rPr>
          <w:sz w:val="22"/>
        </w:rPr>
        <w:t xml:space="preserve"> </w:t>
      </w:r>
      <w:r w:rsidR="0025050B">
        <w:rPr>
          <w:sz w:val="22"/>
        </w:rPr>
        <w:t>While a</w:t>
      </w:r>
      <w:r w:rsidRPr="00223D9F">
        <w:rPr>
          <w:sz w:val="22"/>
        </w:rPr>
        <w:t xml:space="preserve">ll students in participating CEP </w:t>
      </w:r>
      <w:r w:rsidR="002D0C66" w:rsidRPr="00223D9F">
        <w:rPr>
          <w:sz w:val="22"/>
        </w:rPr>
        <w:t xml:space="preserve">schools </w:t>
      </w:r>
      <w:r w:rsidRPr="00223D9F">
        <w:rPr>
          <w:sz w:val="22"/>
        </w:rPr>
        <w:t xml:space="preserve">are eligible for free lunch regardless of income, </w:t>
      </w:r>
      <w:r w:rsidR="0025050B">
        <w:rPr>
          <w:sz w:val="22"/>
        </w:rPr>
        <w:t xml:space="preserve">participating districts and </w:t>
      </w:r>
      <w:r w:rsidRPr="00223D9F">
        <w:rPr>
          <w:sz w:val="22"/>
        </w:rPr>
        <w:t xml:space="preserve">schools </w:t>
      </w:r>
      <w:r w:rsidR="0025050B">
        <w:rPr>
          <w:sz w:val="22"/>
        </w:rPr>
        <w:t xml:space="preserve">must determine income status according to actual household income as documented by the NJDOE Household Information Survey or according to a direct certification match. </w:t>
      </w:r>
      <w:r w:rsidR="0091010A">
        <w:rPr>
          <w:sz w:val="22"/>
        </w:rPr>
        <w:t xml:space="preserve">Survey </w:t>
      </w:r>
      <w:r w:rsidR="0091010A" w:rsidRPr="00223D9F">
        <w:rPr>
          <w:sz w:val="22"/>
        </w:rPr>
        <w:t>form</w:t>
      </w:r>
      <w:r w:rsidR="0091010A">
        <w:rPr>
          <w:sz w:val="22"/>
        </w:rPr>
        <w:t xml:space="preserve">s are  </w:t>
      </w:r>
      <w:r w:rsidR="0091010A" w:rsidRPr="00223D9F">
        <w:rPr>
          <w:sz w:val="22"/>
        </w:rPr>
        <w:t>avail</w:t>
      </w:r>
      <w:bookmarkStart w:id="0" w:name="_GoBack"/>
      <w:bookmarkEnd w:id="0"/>
      <w:r w:rsidR="0091010A" w:rsidRPr="00223D9F">
        <w:rPr>
          <w:sz w:val="22"/>
        </w:rPr>
        <w:t xml:space="preserve">able </w:t>
      </w:r>
      <w:r w:rsidR="0091010A">
        <w:rPr>
          <w:sz w:val="22"/>
        </w:rPr>
        <w:t xml:space="preserve">in English and Spanish </w:t>
      </w:r>
      <w:r w:rsidR="0091010A" w:rsidRPr="00223D9F">
        <w:rPr>
          <w:sz w:val="22"/>
        </w:rPr>
        <w:t>on</w:t>
      </w:r>
      <w:r w:rsidR="0091010A">
        <w:rPr>
          <w:sz w:val="22"/>
        </w:rPr>
        <w:t xml:space="preserve"> the </w:t>
      </w:r>
      <w:r w:rsidR="008C593E">
        <w:rPr>
          <w:sz w:val="22"/>
        </w:rPr>
        <w:br/>
      </w:r>
      <w:hyperlink r:id="rId6" w:history="1">
        <w:r w:rsidR="008C593E">
          <w:rPr>
            <w:rStyle w:val="Hyperlink"/>
          </w:rPr>
          <w:t>NJDOE CEP website: https://www.state.nj.us/education/finance/cep/</w:t>
        </w:r>
      </w:hyperlink>
      <w:r w:rsidR="0091010A" w:rsidRPr="00D32461">
        <w:rPr>
          <w:sz w:val="22"/>
        </w:rPr>
        <w:t>.</w:t>
      </w:r>
    </w:p>
    <w:p w14:paraId="3083849A" w14:textId="51C08335" w:rsidR="00BA0078" w:rsidRPr="00617072" w:rsidRDefault="00055891" w:rsidP="00BA0078">
      <w:pPr>
        <w:pStyle w:val="Heading2"/>
        <w:spacing w:after="0"/>
        <w:rPr>
          <w:sz w:val="23"/>
          <w:szCs w:val="23"/>
        </w:rPr>
      </w:pPr>
      <w:r w:rsidRPr="00617072">
        <w:rPr>
          <w:sz w:val="23"/>
          <w:szCs w:val="23"/>
        </w:rPr>
        <w:t>How to Report Student</w:t>
      </w:r>
      <w:r w:rsidR="0095024F">
        <w:rPr>
          <w:sz w:val="23"/>
          <w:szCs w:val="23"/>
        </w:rPr>
        <w:t xml:space="preserve"> Enrollment</w:t>
      </w:r>
      <w:r w:rsidRPr="00617072">
        <w:rPr>
          <w:sz w:val="23"/>
          <w:szCs w:val="23"/>
        </w:rPr>
        <w:t xml:space="preserve"> Using Survey Responses</w:t>
      </w:r>
    </w:p>
    <w:p w14:paraId="3F0F29AE" w14:textId="77777777" w:rsidR="0091010A" w:rsidRDefault="00BA0078" w:rsidP="0091010A">
      <w:pPr>
        <w:pStyle w:val="ListParagraph"/>
        <w:numPr>
          <w:ilvl w:val="0"/>
          <w:numId w:val="5"/>
        </w:numPr>
        <w:rPr>
          <w:sz w:val="22"/>
        </w:rPr>
      </w:pPr>
      <w:r w:rsidRPr="00223D9F">
        <w:rPr>
          <w:sz w:val="22"/>
        </w:rPr>
        <w:t xml:space="preserve">Collect the Household Information Survey </w:t>
      </w:r>
      <w:r w:rsidR="0091010A">
        <w:rPr>
          <w:sz w:val="22"/>
        </w:rPr>
        <w:t>for all students, or for those without a direct certification match</w:t>
      </w:r>
      <w:r w:rsidR="00223D9F">
        <w:rPr>
          <w:sz w:val="22"/>
        </w:rPr>
        <w:t xml:space="preserve">. </w:t>
      </w:r>
    </w:p>
    <w:p w14:paraId="2EAE5E54" w14:textId="72659B99" w:rsidR="0091010A" w:rsidRDefault="0091010A" w:rsidP="0091010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Students in the same household should be listed on the same survey (only one survey is required per household).</w:t>
      </w:r>
    </w:p>
    <w:p w14:paraId="0A5C50B5" w14:textId="469382C4" w:rsidR="00BA0078" w:rsidRDefault="00BA0078" w:rsidP="00BA0078">
      <w:pPr>
        <w:pStyle w:val="ListParagraph"/>
        <w:numPr>
          <w:ilvl w:val="0"/>
          <w:numId w:val="5"/>
        </w:numPr>
        <w:rPr>
          <w:sz w:val="22"/>
        </w:rPr>
      </w:pPr>
      <w:r w:rsidRPr="00223D9F">
        <w:rPr>
          <w:sz w:val="22"/>
        </w:rPr>
        <w:t>Students identified through direct certification should be recorded as "F</w:t>
      </w:r>
      <w:r w:rsidR="00223D9F">
        <w:rPr>
          <w:sz w:val="22"/>
        </w:rPr>
        <w:t>” regardless of Survey completion.</w:t>
      </w:r>
      <w:r w:rsidRPr="00223D9F">
        <w:rPr>
          <w:sz w:val="22"/>
        </w:rPr>
        <w:t xml:space="preserve"> </w:t>
      </w:r>
    </w:p>
    <w:p w14:paraId="1290DDD7" w14:textId="447BB5AE" w:rsidR="00BA0078" w:rsidRDefault="00D6404D" w:rsidP="00BA0078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Households</w:t>
      </w:r>
      <w:r w:rsidR="00BA0078" w:rsidRPr="00223D9F">
        <w:rPr>
          <w:sz w:val="22"/>
        </w:rPr>
        <w:t xml:space="preserve"> with Part B completed with </w:t>
      </w:r>
      <w:r w:rsidR="00223D9F">
        <w:rPr>
          <w:sz w:val="22"/>
        </w:rPr>
        <w:t xml:space="preserve">a </w:t>
      </w:r>
      <w:r w:rsidR="00BA0078" w:rsidRPr="00223D9F">
        <w:rPr>
          <w:sz w:val="22"/>
        </w:rPr>
        <w:t xml:space="preserve">case number </w:t>
      </w:r>
      <w:r w:rsidR="00223D9F">
        <w:rPr>
          <w:sz w:val="22"/>
        </w:rPr>
        <w:t>sh</w:t>
      </w:r>
      <w:r w:rsidR="00BA0078" w:rsidRPr="00223D9F">
        <w:rPr>
          <w:sz w:val="22"/>
        </w:rPr>
        <w:t>ould be recorded as "F" regardless of income</w:t>
      </w:r>
      <w:r w:rsidR="00223D9F">
        <w:rPr>
          <w:sz w:val="22"/>
        </w:rPr>
        <w:t xml:space="preserve"> range</w:t>
      </w:r>
      <w:r w:rsidR="00BA0078" w:rsidRPr="00223D9F">
        <w:rPr>
          <w:sz w:val="22"/>
        </w:rPr>
        <w:t xml:space="preserve">. </w:t>
      </w:r>
    </w:p>
    <w:p w14:paraId="689905DD" w14:textId="220BBCFF" w:rsidR="00BA5579" w:rsidRPr="00223D9F" w:rsidRDefault="0091010A" w:rsidP="00AD16EE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Use the tables below to </w:t>
      </w:r>
      <w:r w:rsidR="009E0098">
        <w:rPr>
          <w:sz w:val="22"/>
        </w:rPr>
        <w:t xml:space="preserve">determine </w:t>
      </w:r>
      <w:r w:rsidR="00BA0078" w:rsidRPr="00223D9F">
        <w:rPr>
          <w:sz w:val="22"/>
        </w:rPr>
        <w:t xml:space="preserve">the appropriate </w:t>
      </w:r>
      <w:r>
        <w:rPr>
          <w:sz w:val="22"/>
        </w:rPr>
        <w:t xml:space="preserve">income </w:t>
      </w:r>
      <w:r w:rsidR="00BA0078" w:rsidRPr="00223D9F">
        <w:rPr>
          <w:sz w:val="22"/>
        </w:rPr>
        <w:t>status</w:t>
      </w:r>
      <w:r w:rsidR="00423A79">
        <w:rPr>
          <w:sz w:val="22"/>
        </w:rPr>
        <w:t xml:space="preserve"> for each student</w:t>
      </w:r>
      <w:r w:rsidR="00BA0078" w:rsidRPr="00223D9F">
        <w:rPr>
          <w:sz w:val="22"/>
        </w:rPr>
        <w:t xml:space="preserve"> </w:t>
      </w:r>
      <w:r w:rsidR="00423A79">
        <w:rPr>
          <w:sz w:val="22"/>
        </w:rPr>
        <w:t xml:space="preserve">according to </w:t>
      </w:r>
      <w:r w:rsidR="00BA0078" w:rsidRPr="00223D9F">
        <w:rPr>
          <w:sz w:val="22"/>
        </w:rPr>
        <w:t>the Household Size (</w:t>
      </w:r>
      <w:r w:rsidR="00223D9F">
        <w:rPr>
          <w:sz w:val="22"/>
        </w:rPr>
        <w:t xml:space="preserve">number of </w:t>
      </w:r>
      <w:r w:rsidR="00BA0078" w:rsidRPr="00223D9F">
        <w:rPr>
          <w:sz w:val="22"/>
        </w:rPr>
        <w:t xml:space="preserve">people listed in Part A) and Income Range (Part C) </w:t>
      </w:r>
      <w:r w:rsidR="00423A79">
        <w:rPr>
          <w:sz w:val="22"/>
        </w:rPr>
        <w:t>reported in</w:t>
      </w:r>
      <w:r w:rsidR="00BA0078" w:rsidRPr="00223D9F">
        <w:rPr>
          <w:sz w:val="22"/>
        </w:rPr>
        <w:t xml:space="preserve"> the NJ</w:t>
      </w:r>
      <w:r w:rsidR="00423A79">
        <w:rPr>
          <w:sz w:val="22"/>
        </w:rPr>
        <w:t>DOE</w:t>
      </w:r>
      <w:r w:rsidR="00BA0078" w:rsidRPr="00223D9F">
        <w:rPr>
          <w:sz w:val="22"/>
        </w:rPr>
        <w:t xml:space="preserve"> Household Information Survey</w:t>
      </w:r>
      <w:r w:rsidR="00423A79">
        <w:rPr>
          <w:sz w:val="22"/>
        </w:rPr>
        <w:t>.</w:t>
      </w:r>
    </w:p>
    <w:p w14:paraId="5182E034" w14:textId="48B6BB89" w:rsidR="0010185B" w:rsidRPr="00385A9E" w:rsidRDefault="0010185B" w:rsidP="004E5EA4">
      <w:pPr>
        <w:spacing w:after="0"/>
        <w:ind w:left="270"/>
        <w:rPr>
          <w:sz w:val="22"/>
        </w:rPr>
      </w:pPr>
      <w:r w:rsidRPr="00385A9E">
        <w:rPr>
          <w:sz w:val="22"/>
        </w:rPr>
        <w:t xml:space="preserve">For households having </w:t>
      </w:r>
      <w:r w:rsidRPr="00385A9E">
        <w:rPr>
          <w:b/>
          <w:sz w:val="22"/>
        </w:rPr>
        <w:t xml:space="preserve">8 </w:t>
      </w:r>
      <w:r w:rsidR="00385A9E">
        <w:rPr>
          <w:b/>
          <w:sz w:val="22"/>
        </w:rPr>
        <w:t>or fewer</w:t>
      </w:r>
      <w:r w:rsidRPr="00385A9E">
        <w:rPr>
          <w:b/>
          <w:sz w:val="22"/>
        </w:rPr>
        <w:t xml:space="preserve"> members</w:t>
      </w:r>
      <w:r w:rsidRPr="00385A9E">
        <w:rPr>
          <w:sz w:val="22"/>
        </w:rPr>
        <w:t>, use the following table to find the appropriate income range</w:t>
      </w:r>
      <w:r w:rsidR="00A030E2" w:rsidRPr="00385A9E">
        <w:rPr>
          <w:sz w:val="22"/>
        </w:rPr>
        <w:t>.</w:t>
      </w:r>
    </w:p>
    <w:p w14:paraId="4055F2F9" w14:textId="6942F7F4" w:rsidR="00A030E2" w:rsidRPr="00385A9E" w:rsidRDefault="00A030E2" w:rsidP="004E5EA4">
      <w:pPr>
        <w:ind w:left="270"/>
        <w:rPr>
          <w:bCs/>
          <w:sz w:val="22"/>
        </w:rPr>
      </w:pPr>
      <w:r w:rsidRPr="00385A9E">
        <w:rPr>
          <w:bCs/>
          <w:sz w:val="22"/>
        </w:rPr>
        <w:t xml:space="preserve">Using Part C of </w:t>
      </w:r>
      <w:r w:rsidR="00D6404D">
        <w:rPr>
          <w:bCs/>
          <w:sz w:val="22"/>
        </w:rPr>
        <w:t xml:space="preserve">the </w:t>
      </w:r>
      <w:r w:rsidRPr="00385A9E">
        <w:rPr>
          <w:bCs/>
          <w:sz w:val="22"/>
        </w:rPr>
        <w:t>Household Survey, find the Income Range (numbered 1 to 17 in Part C) that corresponds with the number of household members in the first column</w:t>
      </w:r>
      <w:r w:rsidR="00D6404D">
        <w:rPr>
          <w:bCs/>
          <w:sz w:val="22"/>
        </w:rPr>
        <w:t xml:space="preserve"> in this table</w:t>
      </w:r>
      <w:r w:rsidR="00D7426F" w:rsidRPr="00385A9E">
        <w:rPr>
          <w:bCs/>
          <w:sz w:val="22"/>
        </w:rPr>
        <w:t>.</w:t>
      </w:r>
    </w:p>
    <w:p w14:paraId="34B0C8DD" w14:textId="3C310BBA" w:rsidR="00A030E2" w:rsidRPr="00A030E2" w:rsidRDefault="00BA0078" w:rsidP="00A030E2">
      <w:pPr>
        <w:tabs>
          <w:tab w:val="left" w:pos="9070"/>
        </w:tabs>
        <w:spacing w:after="0"/>
        <w:ind w:firstLine="360"/>
        <w:rPr>
          <w:sz w:val="2"/>
          <w:szCs w:val="8"/>
        </w:rPr>
      </w:pPr>
      <w:r>
        <w:rPr>
          <w:sz w:val="8"/>
          <w:szCs w:val="8"/>
        </w:rPr>
        <w:tab/>
      </w:r>
    </w:p>
    <w:tbl>
      <w:tblPr>
        <w:tblStyle w:val="TableGrid"/>
        <w:tblW w:w="8995" w:type="dxa"/>
        <w:jc w:val="center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1705"/>
        <w:gridCol w:w="2250"/>
        <w:gridCol w:w="2885"/>
        <w:gridCol w:w="2155"/>
      </w:tblGrid>
      <w:tr w:rsidR="001050BC" w:rsidRPr="001050BC" w14:paraId="5124B6F6" w14:textId="77777777" w:rsidTr="005F4E08">
        <w:trPr>
          <w:trHeight w:val="800"/>
          <w:tblHeader/>
          <w:jc w:val="center"/>
        </w:trPr>
        <w:tc>
          <w:tcPr>
            <w:tcW w:w="1705" w:type="dxa"/>
            <w:shd w:val="clear" w:color="auto" w:fill="BFBFBF" w:themeFill="background1" w:themeFillShade="BF"/>
            <w:vAlign w:val="center"/>
            <w:hideMark/>
          </w:tcPr>
          <w:p w14:paraId="7799DC17" w14:textId="3D8AF510" w:rsidR="00AD16EE" w:rsidRPr="00D702A4" w:rsidRDefault="003B3B9E" w:rsidP="00A030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No.</w:t>
            </w:r>
            <w:r w:rsidR="00A030E2" w:rsidRPr="00D702A4">
              <w:rPr>
                <w:b/>
                <w:bCs/>
                <w:sz w:val="22"/>
              </w:rPr>
              <w:t xml:space="preserve"> Household </w:t>
            </w:r>
            <w:r w:rsidR="00D702A4" w:rsidRPr="00D702A4">
              <w:rPr>
                <w:b/>
                <w:bCs/>
                <w:sz w:val="22"/>
              </w:rPr>
              <w:t>M</w:t>
            </w:r>
            <w:r w:rsidR="00A030E2" w:rsidRPr="00D702A4">
              <w:rPr>
                <w:b/>
                <w:bCs/>
                <w:sz w:val="22"/>
              </w:rPr>
              <w:t>embers Listed in Part A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  <w:hideMark/>
          </w:tcPr>
          <w:p w14:paraId="69D5EBDF" w14:textId="526AF258" w:rsidR="00AD16EE" w:rsidRPr="00D702A4" w:rsidRDefault="009B0A51" w:rsidP="00D702A4">
            <w:pPr>
              <w:jc w:val="center"/>
              <w:rPr>
                <w:b/>
                <w:bCs/>
                <w:sz w:val="22"/>
              </w:rPr>
            </w:pPr>
            <w:r w:rsidRPr="00D702A4">
              <w:rPr>
                <w:b/>
                <w:bCs/>
                <w:sz w:val="22"/>
              </w:rPr>
              <w:t>F = equivalent</w:t>
            </w:r>
            <w:r w:rsidR="00D702A4" w:rsidRPr="00D702A4">
              <w:rPr>
                <w:b/>
                <w:bCs/>
                <w:sz w:val="22"/>
              </w:rPr>
              <w:t xml:space="preserve"> </w:t>
            </w:r>
            <w:r w:rsidRPr="00D702A4">
              <w:rPr>
                <w:b/>
                <w:bCs/>
                <w:sz w:val="22"/>
              </w:rPr>
              <w:t>to "Free"</w:t>
            </w:r>
            <w:r w:rsidR="00D702A4" w:rsidRPr="00D702A4">
              <w:rPr>
                <w:b/>
                <w:bCs/>
                <w:sz w:val="22"/>
              </w:rPr>
              <w:t xml:space="preserve"> where income </w:t>
            </w:r>
            <w:r w:rsidRPr="00D702A4">
              <w:rPr>
                <w:b/>
                <w:bCs/>
                <w:sz w:val="22"/>
              </w:rPr>
              <w:t xml:space="preserve">&lt; 130% </w:t>
            </w:r>
            <w:r w:rsidR="005F4E08">
              <w:rPr>
                <w:b/>
                <w:bCs/>
                <w:sz w:val="22"/>
              </w:rPr>
              <w:t>×</w:t>
            </w:r>
            <w:r w:rsidR="00D702A4" w:rsidRPr="00D702A4">
              <w:rPr>
                <w:b/>
                <w:bCs/>
                <w:sz w:val="22"/>
              </w:rPr>
              <w:t xml:space="preserve"> </w:t>
            </w:r>
            <w:r w:rsidRPr="00D702A4">
              <w:rPr>
                <w:b/>
                <w:bCs/>
                <w:sz w:val="22"/>
              </w:rPr>
              <w:t>Poverty</w:t>
            </w:r>
          </w:p>
        </w:tc>
        <w:tc>
          <w:tcPr>
            <w:tcW w:w="2885" w:type="dxa"/>
            <w:shd w:val="clear" w:color="auto" w:fill="BFBFBF" w:themeFill="background1" w:themeFillShade="BF"/>
            <w:vAlign w:val="center"/>
            <w:hideMark/>
          </w:tcPr>
          <w:p w14:paraId="10C81DF6" w14:textId="76ADE42A" w:rsidR="00AD16EE" w:rsidRPr="00D702A4" w:rsidRDefault="009B0A51" w:rsidP="00D702A4">
            <w:pPr>
              <w:jc w:val="center"/>
              <w:rPr>
                <w:b/>
                <w:bCs/>
                <w:sz w:val="22"/>
              </w:rPr>
            </w:pPr>
            <w:r w:rsidRPr="00D702A4">
              <w:rPr>
                <w:b/>
                <w:bCs/>
                <w:sz w:val="22"/>
              </w:rPr>
              <w:t>R = equivalent to "Reduced</w:t>
            </w:r>
            <w:r w:rsidR="001B6A0C" w:rsidRPr="00D702A4">
              <w:rPr>
                <w:b/>
                <w:bCs/>
                <w:sz w:val="22"/>
              </w:rPr>
              <w:t>”</w:t>
            </w:r>
            <w:r w:rsidRPr="00D702A4">
              <w:rPr>
                <w:b/>
                <w:bCs/>
                <w:sz w:val="22"/>
              </w:rPr>
              <w:t xml:space="preserve"> </w:t>
            </w:r>
            <w:r w:rsidR="00D702A4" w:rsidRPr="00D702A4">
              <w:rPr>
                <w:b/>
                <w:bCs/>
                <w:sz w:val="22"/>
              </w:rPr>
              <w:t xml:space="preserve">where income </w:t>
            </w:r>
            <w:r w:rsidRPr="00D702A4">
              <w:rPr>
                <w:b/>
                <w:bCs/>
                <w:sz w:val="22"/>
              </w:rPr>
              <w:t xml:space="preserve">130 </w:t>
            </w:r>
            <w:r w:rsidR="00BA0078" w:rsidRPr="00D702A4">
              <w:rPr>
                <w:b/>
                <w:bCs/>
                <w:sz w:val="22"/>
              </w:rPr>
              <w:t xml:space="preserve">to </w:t>
            </w:r>
            <w:r w:rsidRPr="00D702A4">
              <w:rPr>
                <w:b/>
                <w:bCs/>
                <w:sz w:val="22"/>
              </w:rPr>
              <w:t xml:space="preserve">185% </w:t>
            </w:r>
            <w:r w:rsidR="005F4E08">
              <w:rPr>
                <w:b/>
                <w:bCs/>
                <w:sz w:val="22"/>
              </w:rPr>
              <w:t>×</w:t>
            </w:r>
            <w:r w:rsidR="00D702A4" w:rsidRPr="00D702A4">
              <w:rPr>
                <w:b/>
                <w:bCs/>
                <w:sz w:val="22"/>
              </w:rPr>
              <w:t xml:space="preserve"> </w:t>
            </w:r>
            <w:r w:rsidRPr="00D702A4">
              <w:rPr>
                <w:b/>
                <w:bCs/>
                <w:sz w:val="22"/>
              </w:rPr>
              <w:t>Poverty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  <w:hideMark/>
          </w:tcPr>
          <w:p w14:paraId="6838410E" w14:textId="0A3A16A2" w:rsidR="00AD16EE" w:rsidRPr="00D702A4" w:rsidRDefault="009B0A51" w:rsidP="00D702A4">
            <w:pPr>
              <w:jc w:val="center"/>
              <w:rPr>
                <w:b/>
                <w:bCs/>
                <w:sz w:val="22"/>
              </w:rPr>
            </w:pPr>
            <w:r w:rsidRPr="00D702A4">
              <w:rPr>
                <w:b/>
                <w:bCs/>
                <w:sz w:val="22"/>
              </w:rPr>
              <w:t>N = Not low</w:t>
            </w:r>
            <w:r w:rsidR="00BA0078" w:rsidRPr="00D702A4">
              <w:rPr>
                <w:b/>
                <w:bCs/>
                <w:sz w:val="22"/>
              </w:rPr>
              <w:t>-</w:t>
            </w:r>
            <w:r w:rsidRPr="00D702A4">
              <w:rPr>
                <w:b/>
                <w:bCs/>
                <w:sz w:val="22"/>
              </w:rPr>
              <w:t>income</w:t>
            </w:r>
            <w:r w:rsidR="00E7117E">
              <w:rPr>
                <w:b/>
                <w:bCs/>
                <w:sz w:val="22"/>
              </w:rPr>
              <w:t xml:space="preserve"> if</w:t>
            </w:r>
            <w:r w:rsidR="00D702A4" w:rsidRPr="00D702A4">
              <w:rPr>
                <w:b/>
                <w:bCs/>
                <w:sz w:val="22"/>
              </w:rPr>
              <w:t xml:space="preserve"> </w:t>
            </w:r>
            <w:r w:rsidR="00D6404D">
              <w:rPr>
                <w:b/>
                <w:bCs/>
                <w:sz w:val="22"/>
              </w:rPr>
              <w:t>income is over</w:t>
            </w:r>
            <w:r w:rsidRPr="00D702A4">
              <w:rPr>
                <w:b/>
                <w:bCs/>
                <w:sz w:val="22"/>
              </w:rPr>
              <w:t xml:space="preserve"> 185% </w:t>
            </w:r>
            <w:r w:rsidR="005F4E08">
              <w:rPr>
                <w:b/>
                <w:bCs/>
                <w:sz w:val="22"/>
              </w:rPr>
              <w:t>×</w:t>
            </w:r>
            <w:r w:rsidR="00D702A4" w:rsidRPr="00D702A4">
              <w:rPr>
                <w:b/>
                <w:bCs/>
                <w:sz w:val="22"/>
              </w:rPr>
              <w:t xml:space="preserve"> </w:t>
            </w:r>
            <w:r w:rsidRPr="00D702A4">
              <w:rPr>
                <w:b/>
                <w:bCs/>
                <w:sz w:val="22"/>
              </w:rPr>
              <w:t>Poverty</w:t>
            </w:r>
          </w:p>
        </w:tc>
      </w:tr>
      <w:tr w:rsidR="001050BC" w:rsidRPr="001050BC" w14:paraId="2E1E499E" w14:textId="77777777" w:rsidTr="005F4E08">
        <w:trPr>
          <w:trHeight w:val="237"/>
          <w:jc w:val="center"/>
        </w:trPr>
        <w:tc>
          <w:tcPr>
            <w:tcW w:w="1705" w:type="dxa"/>
            <w:noWrap/>
            <w:vAlign w:val="center"/>
            <w:hideMark/>
          </w:tcPr>
          <w:p w14:paraId="088BE565" w14:textId="77777777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1</w:t>
            </w:r>
          </w:p>
        </w:tc>
        <w:tc>
          <w:tcPr>
            <w:tcW w:w="2250" w:type="dxa"/>
            <w:noWrap/>
            <w:vAlign w:val="center"/>
            <w:hideMark/>
          </w:tcPr>
          <w:p w14:paraId="79EC07FD" w14:textId="77777777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1</w:t>
            </w:r>
          </w:p>
        </w:tc>
        <w:tc>
          <w:tcPr>
            <w:tcW w:w="2885" w:type="dxa"/>
            <w:noWrap/>
            <w:vAlign w:val="center"/>
            <w:hideMark/>
          </w:tcPr>
          <w:p w14:paraId="6EFB6CDE" w14:textId="13544F9E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2</w:t>
            </w:r>
            <w:r w:rsidR="009B0A51" w:rsidRPr="00D702A4">
              <w:rPr>
                <w:sz w:val="22"/>
              </w:rPr>
              <w:t xml:space="preserve"> </w:t>
            </w:r>
            <w:r w:rsidR="00BA0078" w:rsidRPr="00D702A4">
              <w:rPr>
                <w:sz w:val="22"/>
              </w:rPr>
              <w:t>to</w:t>
            </w:r>
            <w:r w:rsidR="009B0A51" w:rsidRPr="00D702A4">
              <w:rPr>
                <w:sz w:val="22"/>
              </w:rPr>
              <w:t xml:space="preserve"> </w:t>
            </w:r>
            <w:r w:rsidRPr="00D702A4">
              <w:rPr>
                <w:sz w:val="22"/>
              </w:rPr>
              <w:t>3</w:t>
            </w:r>
          </w:p>
        </w:tc>
        <w:tc>
          <w:tcPr>
            <w:tcW w:w="2155" w:type="dxa"/>
            <w:noWrap/>
            <w:vAlign w:val="center"/>
            <w:hideMark/>
          </w:tcPr>
          <w:p w14:paraId="3E8C7982" w14:textId="75789B6D" w:rsidR="009B0A51" w:rsidRPr="00D702A4" w:rsidRDefault="00AD16EE" w:rsidP="009B0A51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4</w:t>
            </w:r>
            <w:r w:rsidR="009B0A51" w:rsidRPr="00D702A4">
              <w:rPr>
                <w:sz w:val="22"/>
              </w:rPr>
              <w:t xml:space="preserve"> </w:t>
            </w:r>
            <w:r w:rsidR="00BA0078" w:rsidRPr="00D702A4">
              <w:rPr>
                <w:sz w:val="22"/>
              </w:rPr>
              <w:t>to</w:t>
            </w:r>
            <w:r w:rsidR="009B0A51" w:rsidRPr="00D702A4">
              <w:rPr>
                <w:sz w:val="22"/>
              </w:rPr>
              <w:t xml:space="preserve"> 17</w:t>
            </w:r>
          </w:p>
        </w:tc>
      </w:tr>
      <w:tr w:rsidR="001050BC" w:rsidRPr="001050BC" w14:paraId="43F3714E" w14:textId="77777777" w:rsidTr="005F4E08">
        <w:trPr>
          <w:trHeight w:val="237"/>
          <w:jc w:val="center"/>
        </w:trPr>
        <w:tc>
          <w:tcPr>
            <w:tcW w:w="1705" w:type="dxa"/>
            <w:shd w:val="clear" w:color="auto" w:fill="F2F2F2" w:themeFill="background1" w:themeFillShade="F2"/>
            <w:noWrap/>
            <w:vAlign w:val="center"/>
            <w:hideMark/>
          </w:tcPr>
          <w:p w14:paraId="5AFB009F" w14:textId="77777777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2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  <w:hideMark/>
          </w:tcPr>
          <w:p w14:paraId="6A53C5E0" w14:textId="3AFF15D9" w:rsidR="00AD16EE" w:rsidRPr="00D702A4" w:rsidRDefault="009B0A51" w:rsidP="009B0A51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 xml:space="preserve">1 </w:t>
            </w:r>
            <w:r w:rsidR="00BA0078" w:rsidRPr="00D702A4">
              <w:rPr>
                <w:sz w:val="22"/>
              </w:rPr>
              <w:t>to</w:t>
            </w:r>
            <w:r w:rsidR="00AD16EE" w:rsidRPr="00D702A4">
              <w:rPr>
                <w:sz w:val="22"/>
              </w:rPr>
              <w:t xml:space="preserve"> 2</w:t>
            </w:r>
          </w:p>
        </w:tc>
        <w:tc>
          <w:tcPr>
            <w:tcW w:w="2885" w:type="dxa"/>
            <w:shd w:val="clear" w:color="auto" w:fill="F2F2F2" w:themeFill="background1" w:themeFillShade="F2"/>
            <w:noWrap/>
            <w:vAlign w:val="center"/>
            <w:hideMark/>
          </w:tcPr>
          <w:p w14:paraId="2ADB14B8" w14:textId="7BB26B23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3</w:t>
            </w:r>
            <w:r w:rsidR="009B0A51" w:rsidRPr="00D702A4">
              <w:rPr>
                <w:sz w:val="22"/>
              </w:rPr>
              <w:t xml:space="preserve"> </w:t>
            </w:r>
            <w:r w:rsidR="00BA0078" w:rsidRPr="00D702A4">
              <w:rPr>
                <w:sz w:val="22"/>
              </w:rPr>
              <w:t>to</w:t>
            </w:r>
            <w:r w:rsidR="009B0A51" w:rsidRPr="00D702A4">
              <w:rPr>
                <w:sz w:val="22"/>
              </w:rPr>
              <w:t xml:space="preserve"> </w:t>
            </w:r>
            <w:r w:rsidRPr="00D702A4">
              <w:rPr>
                <w:sz w:val="22"/>
              </w:rPr>
              <w:t>5</w:t>
            </w:r>
          </w:p>
        </w:tc>
        <w:tc>
          <w:tcPr>
            <w:tcW w:w="2155" w:type="dxa"/>
            <w:shd w:val="clear" w:color="auto" w:fill="F2F2F2" w:themeFill="background1" w:themeFillShade="F2"/>
            <w:noWrap/>
            <w:vAlign w:val="center"/>
            <w:hideMark/>
          </w:tcPr>
          <w:p w14:paraId="31B6915D" w14:textId="3A13A3E9" w:rsidR="00AD16EE" w:rsidRPr="00D702A4" w:rsidRDefault="00AD16EE" w:rsidP="009B0A51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6</w:t>
            </w:r>
            <w:r w:rsidR="009B0A51" w:rsidRPr="00D702A4">
              <w:rPr>
                <w:sz w:val="22"/>
              </w:rPr>
              <w:t xml:space="preserve"> </w:t>
            </w:r>
            <w:r w:rsidR="00BA0078" w:rsidRPr="00D702A4">
              <w:rPr>
                <w:sz w:val="22"/>
              </w:rPr>
              <w:t>to</w:t>
            </w:r>
            <w:r w:rsidR="009B0A51" w:rsidRPr="00D702A4">
              <w:rPr>
                <w:sz w:val="22"/>
              </w:rPr>
              <w:t xml:space="preserve"> 17</w:t>
            </w:r>
          </w:p>
        </w:tc>
      </w:tr>
      <w:tr w:rsidR="001050BC" w:rsidRPr="001050BC" w14:paraId="19D16C6D" w14:textId="77777777" w:rsidTr="005F4E08">
        <w:trPr>
          <w:trHeight w:val="237"/>
          <w:jc w:val="center"/>
        </w:trPr>
        <w:tc>
          <w:tcPr>
            <w:tcW w:w="1705" w:type="dxa"/>
            <w:noWrap/>
            <w:vAlign w:val="center"/>
            <w:hideMark/>
          </w:tcPr>
          <w:p w14:paraId="6D4E92FA" w14:textId="77777777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3</w:t>
            </w:r>
          </w:p>
        </w:tc>
        <w:tc>
          <w:tcPr>
            <w:tcW w:w="2250" w:type="dxa"/>
            <w:noWrap/>
            <w:vAlign w:val="center"/>
            <w:hideMark/>
          </w:tcPr>
          <w:p w14:paraId="7A697242" w14:textId="5450AFA4" w:rsidR="00AD16EE" w:rsidRPr="00D702A4" w:rsidRDefault="009B0A51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 xml:space="preserve">1 </w:t>
            </w:r>
            <w:r w:rsidR="00BA0078" w:rsidRPr="00D702A4">
              <w:rPr>
                <w:sz w:val="22"/>
              </w:rPr>
              <w:t>to</w:t>
            </w:r>
            <w:r w:rsidRPr="00D702A4">
              <w:rPr>
                <w:sz w:val="22"/>
              </w:rPr>
              <w:t xml:space="preserve"> 4</w:t>
            </w:r>
          </w:p>
        </w:tc>
        <w:tc>
          <w:tcPr>
            <w:tcW w:w="2885" w:type="dxa"/>
            <w:noWrap/>
            <w:vAlign w:val="center"/>
            <w:hideMark/>
          </w:tcPr>
          <w:p w14:paraId="3A514E7B" w14:textId="13D721EB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5</w:t>
            </w:r>
            <w:r w:rsidR="009B0A51" w:rsidRPr="00D702A4">
              <w:rPr>
                <w:sz w:val="22"/>
              </w:rPr>
              <w:t xml:space="preserve"> </w:t>
            </w:r>
            <w:r w:rsidR="00BA0078" w:rsidRPr="00D702A4">
              <w:rPr>
                <w:sz w:val="22"/>
              </w:rPr>
              <w:t xml:space="preserve">to </w:t>
            </w:r>
            <w:r w:rsidRPr="00D702A4">
              <w:rPr>
                <w:sz w:val="22"/>
              </w:rPr>
              <w:t>8</w:t>
            </w:r>
          </w:p>
        </w:tc>
        <w:tc>
          <w:tcPr>
            <w:tcW w:w="2155" w:type="dxa"/>
            <w:noWrap/>
            <w:vAlign w:val="center"/>
            <w:hideMark/>
          </w:tcPr>
          <w:p w14:paraId="5C3C8BF0" w14:textId="47BB3C93" w:rsidR="00AD16EE" w:rsidRPr="00D702A4" w:rsidRDefault="00AD16EE" w:rsidP="009B0A51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9</w:t>
            </w:r>
            <w:r w:rsidR="009B0A51" w:rsidRPr="00D702A4">
              <w:rPr>
                <w:sz w:val="22"/>
              </w:rPr>
              <w:t xml:space="preserve"> </w:t>
            </w:r>
            <w:r w:rsidR="00BA0078" w:rsidRPr="00D702A4">
              <w:rPr>
                <w:sz w:val="22"/>
              </w:rPr>
              <w:t>to</w:t>
            </w:r>
            <w:r w:rsidR="009B0A51" w:rsidRPr="00D702A4">
              <w:rPr>
                <w:sz w:val="22"/>
              </w:rPr>
              <w:t xml:space="preserve"> 17</w:t>
            </w:r>
          </w:p>
        </w:tc>
      </w:tr>
      <w:tr w:rsidR="001050BC" w:rsidRPr="001050BC" w14:paraId="560F3D06" w14:textId="77777777" w:rsidTr="005F4E08">
        <w:trPr>
          <w:trHeight w:val="237"/>
          <w:jc w:val="center"/>
        </w:trPr>
        <w:tc>
          <w:tcPr>
            <w:tcW w:w="1705" w:type="dxa"/>
            <w:shd w:val="clear" w:color="auto" w:fill="F2F2F2" w:themeFill="background1" w:themeFillShade="F2"/>
            <w:noWrap/>
            <w:vAlign w:val="center"/>
            <w:hideMark/>
          </w:tcPr>
          <w:p w14:paraId="12395D34" w14:textId="77777777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4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  <w:hideMark/>
          </w:tcPr>
          <w:p w14:paraId="3DB951EF" w14:textId="63DA7E35" w:rsidR="00AD16EE" w:rsidRPr="00D702A4" w:rsidRDefault="009B0A51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 xml:space="preserve">1 </w:t>
            </w:r>
            <w:r w:rsidR="00BA0078" w:rsidRPr="00D702A4">
              <w:rPr>
                <w:sz w:val="22"/>
              </w:rPr>
              <w:t xml:space="preserve">to </w:t>
            </w:r>
            <w:r w:rsidR="00AD16EE" w:rsidRPr="00D702A4">
              <w:rPr>
                <w:sz w:val="22"/>
              </w:rPr>
              <w:t>6</w:t>
            </w:r>
          </w:p>
        </w:tc>
        <w:tc>
          <w:tcPr>
            <w:tcW w:w="2885" w:type="dxa"/>
            <w:shd w:val="clear" w:color="auto" w:fill="F2F2F2" w:themeFill="background1" w:themeFillShade="F2"/>
            <w:noWrap/>
            <w:vAlign w:val="center"/>
            <w:hideMark/>
          </w:tcPr>
          <w:p w14:paraId="09890097" w14:textId="701CAE17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7</w:t>
            </w:r>
            <w:r w:rsidR="009B0A51" w:rsidRPr="00D702A4">
              <w:rPr>
                <w:sz w:val="22"/>
              </w:rPr>
              <w:t xml:space="preserve"> </w:t>
            </w:r>
            <w:r w:rsidR="00BA0078" w:rsidRPr="00D702A4">
              <w:rPr>
                <w:sz w:val="22"/>
              </w:rPr>
              <w:t xml:space="preserve">to </w:t>
            </w:r>
            <w:r w:rsidRPr="00D702A4">
              <w:rPr>
                <w:sz w:val="22"/>
              </w:rPr>
              <w:t>10</w:t>
            </w:r>
          </w:p>
        </w:tc>
        <w:tc>
          <w:tcPr>
            <w:tcW w:w="2155" w:type="dxa"/>
            <w:shd w:val="clear" w:color="auto" w:fill="F2F2F2" w:themeFill="background1" w:themeFillShade="F2"/>
            <w:noWrap/>
            <w:vAlign w:val="center"/>
            <w:hideMark/>
          </w:tcPr>
          <w:p w14:paraId="67E84E43" w14:textId="73A16A46" w:rsidR="009B0A51" w:rsidRPr="00D702A4" w:rsidRDefault="00AD16EE" w:rsidP="009B0A51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11</w:t>
            </w:r>
            <w:r w:rsidR="009B0A51" w:rsidRPr="00D702A4">
              <w:rPr>
                <w:sz w:val="22"/>
              </w:rPr>
              <w:t xml:space="preserve"> </w:t>
            </w:r>
            <w:r w:rsidR="00BA0078" w:rsidRPr="00D702A4">
              <w:rPr>
                <w:sz w:val="22"/>
              </w:rPr>
              <w:t>to</w:t>
            </w:r>
            <w:r w:rsidR="009B0A51" w:rsidRPr="00D702A4">
              <w:rPr>
                <w:sz w:val="22"/>
              </w:rPr>
              <w:t xml:space="preserve"> 17</w:t>
            </w:r>
          </w:p>
        </w:tc>
      </w:tr>
      <w:tr w:rsidR="001050BC" w:rsidRPr="001050BC" w14:paraId="30A0880A" w14:textId="77777777" w:rsidTr="005F4E08">
        <w:trPr>
          <w:trHeight w:val="237"/>
          <w:jc w:val="center"/>
        </w:trPr>
        <w:tc>
          <w:tcPr>
            <w:tcW w:w="1705" w:type="dxa"/>
            <w:noWrap/>
            <w:vAlign w:val="center"/>
            <w:hideMark/>
          </w:tcPr>
          <w:p w14:paraId="21A50378" w14:textId="77777777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5</w:t>
            </w:r>
          </w:p>
        </w:tc>
        <w:tc>
          <w:tcPr>
            <w:tcW w:w="2250" w:type="dxa"/>
            <w:noWrap/>
            <w:vAlign w:val="center"/>
            <w:hideMark/>
          </w:tcPr>
          <w:p w14:paraId="5282E8D6" w14:textId="735DDA91" w:rsidR="00AD16EE" w:rsidRPr="00D702A4" w:rsidRDefault="009B0A51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 xml:space="preserve">1 </w:t>
            </w:r>
            <w:r w:rsidR="00BA0078" w:rsidRPr="00D702A4">
              <w:rPr>
                <w:sz w:val="22"/>
              </w:rPr>
              <w:t>to</w:t>
            </w:r>
            <w:r w:rsidR="00AD16EE" w:rsidRPr="00D702A4">
              <w:rPr>
                <w:sz w:val="22"/>
              </w:rPr>
              <w:t xml:space="preserve"> 7</w:t>
            </w:r>
          </w:p>
        </w:tc>
        <w:tc>
          <w:tcPr>
            <w:tcW w:w="2885" w:type="dxa"/>
            <w:noWrap/>
            <w:vAlign w:val="center"/>
            <w:hideMark/>
          </w:tcPr>
          <w:p w14:paraId="032B3635" w14:textId="6305AA18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8</w:t>
            </w:r>
            <w:r w:rsidR="009B0A51" w:rsidRPr="00D702A4">
              <w:rPr>
                <w:sz w:val="22"/>
              </w:rPr>
              <w:t xml:space="preserve"> </w:t>
            </w:r>
            <w:r w:rsidR="00BA0078" w:rsidRPr="00D702A4">
              <w:rPr>
                <w:sz w:val="22"/>
              </w:rPr>
              <w:t>to</w:t>
            </w:r>
            <w:r w:rsidR="009B0A51" w:rsidRPr="00D702A4">
              <w:rPr>
                <w:sz w:val="22"/>
              </w:rPr>
              <w:t xml:space="preserve"> </w:t>
            </w:r>
            <w:r w:rsidRPr="00D702A4">
              <w:rPr>
                <w:sz w:val="22"/>
              </w:rPr>
              <w:t>12</w:t>
            </w:r>
          </w:p>
        </w:tc>
        <w:tc>
          <w:tcPr>
            <w:tcW w:w="2155" w:type="dxa"/>
            <w:noWrap/>
            <w:vAlign w:val="center"/>
            <w:hideMark/>
          </w:tcPr>
          <w:p w14:paraId="2BCB4847" w14:textId="7759DCB4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13</w:t>
            </w:r>
            <w:r w:rsidR="009B0A51" w:rsidRPr="00D702A4">
              <w:rPr>
                <w:sz w:val="22"/>
              </w:rPr>
              <w:t xml:space="preserve"> </w:t>
            </w:r>
            <w:r w:rsidR="00BA0078" w:rsidRPr="00D702A4">
              <w:rPr>
                <w:sz w:val="22"/>
              </w:rPr>
              <w:t>to</w:t>
            </w:r>
            <w:r w:rsidR="009B0A51" w:rsidRPr="00D702A4">
              <w:rPr>
                <w:sz w:val="22"/>
              </w:rPr>
              <w:t xml:space="preserve"> 17</w:t>
            </w:r>
          </w:p>
        </w:tc>
      </w:tr>
      <w:tr w:rsidR="001050BC" w:rsidRPr="001050BC" w14:paraId="4EED4E38" w14:textId="77777777" w:rsidTr="005F4E08">
        <w:trPr>
          <w:trHeight w:val="237"/>
          <w:jc w:val="center"/>
        </w:trPr>
        <w:tc>
          <w:tcPr>
            <w:tcW w:w="1705" w:type="dxa"/>
            <w:shd w:val="clear" w:color="auto" w:fill="F2F2F2" w:themeFill="background1" w:themeFillShade="F2"/>
            <w:noWrap/>
            <w:vAlign w:val="center"/>
            <w:hideMark/>
          </w:tcPr>
          <w:p w14:paraId="198FB39D" w14:textId="77777777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6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  <w:hideMark/>
          </w:tcPr>
          <w:p w14:paraId="38EA488E" w14:textId="061D0A83" w:rsidR="00AD16EE" w:rsidRPr="00D702A4" w:rsidRDefault="009B0A51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 xml:space="preserve">1 </w:t>
            </w:r>
            <w:r w:rsidR="00BA0078" w:rsidRPr="00D702A4">
              <w:rPr>
                <w:sz w:val="22"/>
              </w:rPr>
              <w:t>to</w:t>
            </w:r>
            <w:r w:rsidR="00AD16EE" w:rsidRPr="00D702A4">
              <w:rPr>
                <w:sz w:val="22"/>
              </w:rPr>
              <w:t xml:space="preserve"> 9</w:t>
            </w:r>
          </w:p>
        </w:tc>
        <w:tc>
          <w:tcPr>
            <w:tcW w:w="2885" w:type="dxa"/>
            <w:shd w:val="clear" w:color="auto" w:fill="F2F2F2" w:themeFill="background1" w:themeFillShade="F2"/>
            <w:noWrap/>
            <w:vAlign w:val="center"/>
            <w:hideMark/>
          </w:tcPr>
          <w:p w14:paraId="0EEE441C" w14:textId="16B2FFE6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10</w:t>
            </w:r>
            <w:r w:rsidR="009B0A51" w:rsidRPr="00D702A4">
              <w:rPr>
                <w:sz w:val="22"/>
              </w:rPr>
              <w:t xml:space="preserve"> </w:t>
            </w:r>
            <w:r w:rsidR="00BA0078" w:rsidRPr="00D702A4">
              <w:rPr>
                <w:sz w:val="22"/>
              </w:rPr>
              <w:t>to</w:t>
            </w:r>
            <w:r w:rsidR="009B0A51" w:rsidRPr="00D702A4">
              <w:rPr>
                <w:sz w:val="22"/>
              </w:rPr>
              <w:t xml:space="preserve"> </w:t>
            </w:r>
            <w:r w:rsidRPr="00D702A4">
              <w:rPr>
                <w:sz w:val="22"/>
              </w:rPr>
              <w:t>14</w:t>
            </w:r>
          </w:p>
        </w:tc>
        <w:tc>
          <w:tcPr>
            <w:tcW w:w="2155" w:type="dxa"/>
            <w:shd w:val="clear" w:color="auto" w:fill="F2F2F2" w:themeFill="background1" w:themeFillShade="F2"/>
            <w:noWrap/>
            <w:vAlign w:val="center"/>
            <w:hideMark/>
          </w:tcPr>
          <w:p w14:paraId="65B79573" w14:textId="2943525A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15</w:t>
            </w:r>
            <w:r w:rsidR="009B0A51" w:rsidRPr="00D702A4">
              <w:rPr>
                <w:sz w:val="22"/>
              </w:rPr>
              <w:t xml:space="preserve"> </w:t>
            </w:r>
            <w:r w:rsidR="00BA0078" w:rsidRPr="00D702A4">
              <w:rPr>
                <w:sz w:val="22"/>
              </w:rPr>
              <w:t>to</w:t>
            </w:r>
            <w:r w:rsidR="009B0A51" w:rsidRPr="00D702A4">
              <w:rPr>
                <w:sz w:val="22"/>
              </w:rPr>
              <w:t xml:space="preserve"> 17</w:t>
            </w:r>
          </w:p>
        </w:tc>
      </w:tr>
      <w:tr w:rsidR="001050BC" w:rsidRPr="001050BC" w14:paraId="78096CC2" w14:textId="77777777" w:rsidTr="005F4E08">
        <w:trPr>
          <w:trHeight w:val="237"/>
          <w:jc w:val="center"/>
        </w:trPr>
        <w:tc>
          <w:tcPr>
            <w:tcW w:w="1705" w:type="dxa"/>
            <w:noWrap/>
            <w:vAlign w:val="center"/>
            <w:hideMark/>
          </w:tcPr>
          <w:p w14:paraId="00DE9456" w14:textId="77777777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7</w:t>
            </w:r>
          </w:p>
        </w:tc>
        <w:tc>
          <w:tcPr>
            <w:tcW w:w="2250" w:type="dxa"/>
            <w:noWrap/>
            <w:vAlign w:val="center"/>
            <w:hideMark/>
          </w:tcPr>
          <w:p w14:paraId="75ED607C" w14:textId="371C0FEB" w:rsidR="00AD16EE" w:rsidRPr="00D702A4" w:rsidRDefault="009B0A51" w:rsidP="009B0A51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 xml:space="preserve">1 </w:t>
            </w:r>
            <w:r w:rsidR="00BA0078" w:rsidRPr="00D702A4">
              <w:rPr>
                <w:sz w:val="22"/>
              </w:rPr>
              <w:t xml:space="preserve">to </w:t>
            </w:r>
            <w:r w:rsidR="00AD16EE" w:rsidRPr="00D702A4">
              <w:rPr>
                <w:sz w:val="22"/>
              </w:rPr>
              <w:t>11</w:t>
            </w:r>
          </w:p>
        </w:tc>
        <w:tc>
          <w:tcPr>
            <w:tcW w:w="2885" w:type="dxa"/>
            <w:noWrap/>
            <w:vAlign w:val="center"/>
            <w:hideMark/>
          </w:tcPr>
          <w:p w14:paraId="2E9B6C8F" w14:textId="1E783785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12</w:t>
            </w:r>
            <w:r w:rsidR="009B0A51" w:rsidRPr="00D702A4">
              <w:rPr>
                <w:sz w:val="22"/>
              </w:rPr>
              <w:t xml:space="preserve"> </w:t>
            </w:r>
            <w:r w:rsidR="00BA0078" w:rsidRPr="00D702A4">
              <w:rPr>
                <w:sz w:val="22"/>
              </w:rPr>
              <w:t>to</w:t>
            </w:r>
            <w:r w:rsidR="009B0A51" w:rsidRPr="00D702A4">
              <w:rPr>
                <w:sz w:val="22"/>
              </w:rPr>
              <w:t xml:space="preserve"> </w:t>
            </w:r>
            <w:r w:rsidRPr="00D702A4">
              <w:rPr>
                <w:sz w:val="22"/>
              </w:rPr>
              <w:t>15</w:t>
            </w:r>
          </w:p>
        </w:tc>
        <w:tc>
          <w:tcPr>
            <w:tcW w:w="2155" w:type="dxa"/>
            <w:noWrap/>
            <w:vAlign w:val="center"/>
            <w:hideMark/>
          </w:tcPr>
          <w:p w14:paraId="1BA0848A" w14:textId="071484F4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16</w:t>
            </w:r>
            <w:r w:rsidR="009B0A51" w:rsidRPr="00D702A4">
              <w:rPr>
                <w:sz w:val="22"/>
              </w:rPr>
              <w:t xml:space="preserve"> </w:t>
            </w:r>
            <w:r w:rsidR="00BA0078" w:rsidRPr="00D702A4">
              <w:rPr>
                <w:sz w:val="22"/>
              </w:rPr>
              <w:t>to</w:t>
            </w:r>
            <w:r w:rsidR="009B0A51" w:rsidRPr="00D702A4">
              <w:rPr>
                <w:sz w:val="22"/>
              </w:rPr>
              <w:t xml:space="preserve"> 17</w:t>
            </w:r>
          </w:p>
        </w:tc>
      </w:tr>
      <w:tr w:rsidR="001050BC" w:rsidRPr="001050BC" w14:paraId="0BA79877" w14:textId="77777777" w:rsidTr="005F4E08">
        <w:trPr>
          <w:trHeight w:val="237"/>
          <w:jc w:val="center"/>
        </w:trPr>
        <w:tc>
          <w:tcPr>
            <w:tcW w:w="1705" w:type="dxa"/>
            <w:shd w:val="clear" w:color="auto" w:fill="F2F2F2" w:themeFill="background1" w:themeFillShade="F2"/>
            <w:noWrap/>
            <w:vAlign w:val="center"/>
            <w:hideMark/>
          </w:tcPr>
          <w:p w14:paraId="1C9E4B62" w14:textId="77777777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8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  <w:hideMark/>
          </w:tcPr>
          <w:p w14:paraId="7FBEC0A5" w14:textId="0B102DBB" w:rsidR="00AD16EE" w:rsidRPr="00D702A4" w:rsidRDefault="009B0A51" w:rsidP="009B0A51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 xml:space="preserve">1 </w:t>
            </w:r>
            <w:r w:rsidR="00BA0078" w:rsidRPr="00D702A4">
              <w:rPr>
                <w:sz w:val="22"/>
              </w:rPr>
              <w:t>to</w:t>
            </w:r>
            <w:r w:rsidR="00AD16EE" w:rsidRPr="00D702A4">
              <w:rPr>
                <w:sz w:val="22"/>
              </w:rPr>
              <w:t xml:space="preserve"> 13</w:t>
            </w:r>
          </w:p>
        </w:tc>
        <w:tc>
          <w:tcPr>
            <w:tcW w:w="2885" w:type="dxa"/>
            <w:shd w:val="clear" w:color="auto" w:fill="F2F2F2" w:themeFill="background1" w:themeFillShade="F2"/>
            <w:vAlign w:val="center"/>
            <w:hideMark/>
          </w:tcPr>
          <w:p w14:paraId="53F1762C" w14:textId="7ADE3CBE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14</w:t>
            </w:r>
            <w:r w:rsidR="009B0A51" w:rsidRPr="00D702A4">
              <w:rPr>
                <w:sz w:val="22"/>
              </w:rPr>
              <w:t xml:space="preserve"> </w:t>
            </w:r>
            <w:r w:rsidR="00BA0078" w:rsidRPr="00D702A4">
              <w:rPr>
                <w:sz w:val="22"/>
              </w:rPr>
              <w:t>to</w:t>
            </w:r>
            <w:r w:rsidR="009B0A51" w:rsidRPr="00D702A4">
              <w:rPr>
                <w:sz w:val="22"/>
              </w:rPr>
              <w:t xml:space="preserve"> </w:t>
            </w:r>
            <w:r w:rsidRPr="00D702A4">
              <w:rPr>
                <w:sz w:val="22"/>
              </w:rPr>
              <w:t>16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  <w:hideMark/>
          </w:tcPr>
          <w:p w14:paraId="714F561D" w14:textId="77777777" w:rsidR="00AD16EE" w:rsidRPr="00D702A4" w:rsidRDefault="00AD16EE" w:rsidP="001050BC">
            <w:pPr>
              <w:jc w:val="center"/>
              <w:rPr>
                <w:sz w:val="22"/>
              </w:rPr>
            </w:pPr>
            <w:r w:rsidRPr="00D702A4">
              <w:rPr>
                <w:sz w:val="22"/>
              </w:rPr>
              <w:t>17</w:t>
            </w:r>
            <w:r w:rsidR="009B0A51" w:rsidRPr="00D702A4">
              <w:rPr>
                <w:sz w:val="22"/>
              </w:rPr>
              <w:t xml:space="preserve"> + </w:t>
            </w:r>
          </w:p>
        </w:tc>
      </w:tr>
    </w:tbl>
    <w:p w14:paraId="3E57C676" w14:textId="38215524" w:rsidR="00BA0078" w:rsidRPr="00385A9E" w:rsidRDefault="001050BC" w:rsidP="004E5EA4">
      <w:pPr>
        <w:spacing w:before="120" w:after="0" w:line="240" w:lineRule="auto"/>
        <w:ind w:firstLine="270"/>
        <w:rPr>
          <w:sz w:val="22"/>
        </w:rPr>
      </w:pPr>
      <w:r w:rsidRPr="00385A9E">
        <w:rPr>
          <w:sz w:val="22"/>
        </w:rPr>
        <w:t xml:space="preserve">For households having </w:t>
      </w:r>
      <w:r w:rsidRPr="00385A9E">
        <w:rPr>
          <w:b/>
          <w:sz w:val="22"/>
        </w:rPr>
        <w:t>more than 8 members</w:t>
      </w:r>
      <w:r w:rsidRPr="00385A9E">
        <w:rPr>
          <w:sz w:val="22"/>
        </w:rPr>
        <w:t>, use the following table to fi</w:t>
      </w:r>
      <w:r w:rsidR="0010185B" w:rsidRPr="00385A9E">
        <w:rPr>
          <w:sz w:val="22"/>
        </w:rPr>
        <w:t>nd the appropriate income range</w:t>
      </w:r>
      <w:r w:rsidR="00A030E2" w:rsidRPr="00385A9E">
        <w:rPr>
          <w:sz w:val="22"/>
        </w:rPr>
        <w:t>:</w:t>
      </w:r>
    </w:p>
    <w:tbl>
      <w:tblPr>
        <w:tblStyle w:val="TableGrid"/>
        <w:tblpPr w:leftFromText="180" w:rightFromText="180" w:vertAnchor="text" w:horzAnchor="page" w:tblpXSpec="center" w:tblpY="129"/>
        <w:tblW w:w="9355" w:type="dxa"/>
        <w:tblLook w:val="0420" w:firstRow="1" w:lastRow="0" w:firstColumn="0" w:lastColumn="0" w:noHBand="0" w:noVBand="1"/>
      </w:tblPr>
      <w:tblGrid>
        <w:gridCol w:w="2335"/>
        <w:gridCol w:w="1800"/>
        <w:gridCol w:w="3060"/>
        <w:gridCol w:w="2160"/>
      </w:tblGrid>
      <w:tr w:rsidR="00223D9F" w:rsidRPr="001050BC" w14:paraId="05851A12" w14:textId="77777777" w:rsidTr="005F4E08">
        <w:trPr>
          <w:trHeight w:val="299"/>
          <w:tblHeader/>
        </w:trPr>
        <w:tc>
          <w:tcPr>
            <w:tcW w:w="2335" w:type="dxa"/>
            <w:shd w:val="clear" w:color="auto" w:fill="BFBFBF" w:themeFill="background1" w:themeFillShade="BF"/>
            <w:noWrap/>
            <w:vAlign w:val="center"/>
            <w:hideMark/>
          </w:tcPr>
          <w:p w14:paraId="470FB37F" w14:textId="77777777" w:rsidR="001050BC" w:rsidRPr="00223D9F" w:rsidRDefault="001050BC" w:rsidP="004E5EA4">
            <w:pPr>
              <w:jc w:val="center"/>
              <w:rPr>
                <w:b/>
                <w:bCs/>
                <w:sz w:val="22"/>
              </w:rPr>
            </w:pPr>
            <w:r w:rsidRPr="00223D9F">
              <w:rPr>
                <w:b/>
                <w:bCs/>
                <w:sz w:val="22"/>
              </w:rPr>
              <w:t>Household Size &gt; 8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center"/>
            <w:hideMark/>
          </w:tcPr>
          <w:p w14:paraId="4065DDBD" w14:textId="77777777" w:rsidR="001050BC" w:rsidRPr="00223D9F" w:rsidRDefault="00BA5579" w:rsidP="004E5EA4">
            <w:pPr>
              <w:jc w:val="center"/>
              <w:rPr>
                <w:b/>
                <w:bCs/>
                <w:sz w:val="22"/>
              </w:rPr>
            </w:pPr>
            <w:r w:rsidRPr="00223D9F">
              <w:rPr>
                <w:b/>
                <w:bCs/>
                <w:sz w:val="22"/>
              </w:rPr>
              <w:t>F</w:t>
            </w:r>
          </w:p>
        </w:tc>
        <w:tc>
          <w:tcPr>
            <w:tcW w:w="3060" w:type="dxa"/>
            <w:shd w:val="clear" w:color="auto" w:fill="BFBFBF" w:themeFill="background1" w:themeFillShade="BF"/>
            <w:noWrap/>
            <w:vAlign w:val="center"/>
            <w:hideMark/>
          </w:tcPr>
          <w:p w14:paraId="1EF863E5" w14:textId="77777777" w:rsidR="001050BC" w:rsidRPr="00223D9F" w:rsidRDefault="001050BC" w:rsidP="004E5EA4">
            <w:pPr>
              <w:jc w:val="center"/>
              <w:rPr>
                <w:b/>
                <w:bCs/>
                <w:sz w:val="22"/>
              </w:rPr>
            </w:pPr>
            <w:r w:rsidRPr="00223D9F">
              <w:rPr>
                <w:b/>
                <w:bCs/>
                <w:sz w:val="22"/>
              </w:rPr>
              <w:t>R</w:t>
            </w:r>
          </w:p>
        </w:tc>
        <w:tc>
          <w:tcPr>
            <w:tcW w:w="2160" w:type="dxa"/>
            <w:shd w:val="clear" w:color="auto" w:fill="BFBFBF" w:themeFill="background1" w:themeFillShade="BF"/>
            <w:noWrap/>
            <w:vAlign w:val="center"/>
            <w:hideMark/>
          </w:tcPr>
          <w:p w14:paraId="3A1CFF90" w14:textId="77777777" w:rsidR="001050BC" w:rsidRPr="00223D9F" w:rsidRDefault="001050BC" w:rsidP="004E5EA4">
            <w:pPr>
              <w:jc w:val="center"/>
              <w:rPr>
                <w:b/>
                <w:bCs/>
                <w:sz w:val="22"/>
              </w:rPr>
            </w:pPr>
            <w:r w:rsidRPr="00223D9F">
              <w:rPr>
                <w:b/>
                <w:bCs/>
                <w:sz w:val="22"/>
              </w:rPr>
              <w:t>N</w:t>
            </w:r>
          </w:p>
        </w:tc>
      </w:tr>
      <w:tr w:rsidR="00291C5A" w:rsidRPr="001050BC" w14:paraId="693093F9" w14:textId="77777777" w:rsidTr="005C1890">
        <w:trPr>
          <w:trHeight w:val="261"/>
        </w:trPr>
        <w:tc>
          <w:tcPr>
            <w:tcW w:w="2335" w:type="dxa"/>
            <w:noWrap/>
            <w:vAlign w:val="center"/>
            <w:hideMark/>
          </w:tcPr>
          <w:p w14:paraId="5E45E773" w14:textId="77777777" w:rsidR="00291C5A" w:rsidRPr="00223D9F" w:rsidRDefault="00291C5A" w:rsidP="00291C5A">
            <w:pPr>
              <w:jc w:val="center"/>
              <w:rPr>
                <w:sz w:val="22"/>
              </w:rPr>
            </w:pPr>
            <w:r w:rsidRPr="00223D9F">
              <w:rPr>
                <w:sz w:val="22"/>
              </w:rPr>
              <w:t>9</w:t>
            </w:r>
          </w:p>
        </w:tc>
        <w:tc>
          <w:tcPr>
            <w:tcW w:w="1800" w:type="dxa"/>
            <w:noWrap/>
            <w:vAlign w:val="bottom"/>
            <w:hideMark/>
          </w:tcPr>
          <w:p w14:paraId="3ACD087C" w14:textId="68DA096D" w:rsidR="00291C5A" w:rsidRPr="00223D9F" w:rsidRDefault="00291C5A" w:rsidP="00291C5A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$0 - $63,960</w:t>
            </w:r>
          </w:p>
        </w:tc>
        <w:tc>
          <w:tcPr>
            <w:tcW w:w="3060" w:type="dxa"/>
            <w:noWrap/>
            <w:hideMark/>
          </w:tcPr>
          <w:p w14:paraId="66CB517D" w14:textId="7FB912A9" w:rsidR="00291C5A" w:rsidRPr="00291C5A" w:rsidRDefault="00291C5A" w:rsidP="00291C5A">
            <w:pPr>
              <w:jc w:val="center"/>
              <w:rPr>
                <w:sz w:val="22"/>
              </w:rPr>
            </w:pPr>
            <w:r w:rsidRPr="00291C5A">
              <w:rPr>
                <w:sz w:val="22"/>
              </w:rPr>
              <w:t>$63,961 - $91,020</w:t>
            </w:r>
          </w:p>
        </w:tc>
        <w:tc>
          <w:tcPr>
            <w:tcW w:w="2160" w:type="dxa"/>
            <w:noWrap/>
            <w:hideMark/>
          </w:tcPr>
          <w:p w14:paraId="21021D73" w14:textId="7E71658E" w:rsidR="00291C5A" w:rsidRPr="00291C5A" w:rsidRDefault="00291C5A" w:rsidP="00291C5A">
            <w:pPr>
              <w:jc w:val="center"/>
              <w:rPr>
                <w:sz w:val="22"/>
              </w:rPr>
            </w:pPr>
            <w:r w:rsidRPr="00291C5A">
              <w:rPr>
                <w:sz w:val="22"/>
              </w:rPr>
              <w:t>$91,021+</w:t>
            </w:r>
          </w:p>
        </w:tc>
      </w:tr>
      <w:tr w:rsidR="00291C5A" w:rsidRPr="001050BC" w14:paraId="3885B890" w14:textId="77777777" w:rsidTr="005C1890">
        <w:trPr>
          <w:trHeight w:val="261"/>
        </w:trPr>
        <w:tc>
          <w:tcPr>
            <w:tcW w:w="2335" w:type="dxa"/>
            <w:shd w:val="clear" w:color="auto" w:fill="F2F2F2" w:themeFill="background1" w:themeFillShade="F2"/>
            <w:noWrap/>
            <w:vAlign w:val="center"/>
            <w:hideMark/>
          </w:tcPr>
          <w:p w14:paraId="07A9B770" w14:textId="77777777" w:rsidR="00291C5A" w:rsidRPr="00223D9F" w:rsidRDefault="00291C5A" w:rsidP="00291C5A">
            <w:pPr>
              <w:jc w:val="center"/>
              <w:rPr>
                <w:sz w:val="22"/>
              </w:rPr>
            </w:pPr>
            <w:r w:rsidRPr="00223D9F">
              <w:rPr>
                <w:sz w:val="22"/>
              </w:rPr>
              <w:t>10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  <w:hideMark/>
          </w:tcPr>
          <w:p w14:paraId="14EF0075" w14:textId="4D343699" w:rsidR="00291C5A" w:rsidRPr="00223D9F" w:rsidRDefault="00291C5A" w:rsidP="00291C5A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$0 - $69,862</w:t>
            </w:r>
          </w:p>
        </w:tc>
        <w:tc>
          <w:tcPr>
            <w:tcW w:w="3060" w:type="dxa"/>
            <w:shd w:val="clear" w:color="auto" w:fill="F2F2F2" w:themeFill="background1" w:themeFillShade="F2"/>
            <w:noWrap/>
            <w:hideMark/>
          </w:tcPr>
          <w:p w14:paraId="2FF147E5" w14:textId="63979399" w:rsidR="00291C5A" w:rsidRPr="00291C5A" w:rsidRDefault="00291C5A" w:rsidP="00291C5A">
            <w:pPr>
              <w:jc w:val="center"/>
              <w:rPr>
                <w:sz w:val="22"/>
              </w:rPr>
            </w:pPr>
            <w:r w:rsidRPr="00291C5A">
              <w:rPr>
                <w:sz w:val="22"/>
              </w:rPr>
              <w:t>$69,863 - $99,419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14:paraId="565FE94B" w14:textId="0FD8F842" w:rsidR="00291C5A" w:rsidRPr="00291C5A" w:rsidRDefault="00291C5A" w:rsidP="00291C5A">
            <w:pPr>
              <w:jc w:val="center"/>
              <w:rPr>
                <w:sz w:val="22"/>
              </w:rPr>
            </w:pPr>
            <w:r w:rsidRPr="00291C5A">
              <w:rPr>
                <w:sz w:val="22"/>
              </w:rPr>
              <w:t>$99,420+</w:t>
            </w:r>
          </w:p>
        </w:tc>
      </w:tr>
      <w:tr w:rsidR="00291C5A" w:rsidRPr="001050BC" w14:paraId="6608A86B" w14:textId="77777777" w:rsidTr="005C1890">
        <w:trPr>
          <w:trHeight w:val="261"/>
        </w:trPr>
        <w:tc>
          <w:tcPr>
            <w:tcW w:w="2335" w:type="dxa"/>
            <w:noWrap/>
            <w:vAlign w:val="center"/>
            <w:hideMark/>
          </w:tcPr>
          <w:p w14:paraId="7D064FBD" w14:textId="77777777" w:rsidR="00291C5A" w:rsidRPr="00223D9F" w:rsidRDefault="00291C5A" w:rsidP="00291C5A">
            <w:pPr>
              <w:jc w:val="center"/>
              <w:rPr>
                <w:sz w:val="22"/>
              </w:rPr>
            </w:pPr>
            <w:r w:rsidRPr="00223D9F">
              <w:rPr>
                <w:sz w:val="22"/>
              </w:rPr>
              <w:t>11</w:t>
            </w:r>
          </w:p>
        </w:tc>
        <w:tc>
          <w:tcPr>
            <w:tcW w:w="1800" w:type="dxa"/>
            <w:noWrap/>
            <w:vAlign w:val="bottom"/>
            <w:hideMark/>
          </w:tcPr>
          <w:p w14:paraId="762E0748" w14:textId="3DA1CDF4" w:rsidR="00291C5A" w:rsidRPr="00223D9F" w:rsidRDefault="00291C5A" w:rsidP="00291C5A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$0 - $75,764</w:t>
            </w:r>
          </w:p>
        </w:tc>
        <w:tc>
          <w:tcPr>
            <w:tcW w:w="3060" w:type="dxa"/>
            <w:noWrap/>
            <w:hideMark/>
          </w:tcPr>
          <w:p w14:paraId="5EDA5EA6" w14:textId="783AC3C3" w:rsidR="00291C5A" w:rsidRPr="00291C5A" w:rsidRDefault="00291C5A" w:rsidP="00291C5A">
            <w:pPr>
              <w:jc w:val="center"/>
              <w:rPr>
                <w:sz w:val="22"/>
              </w:rPr>
            </w:pPr>
            <w:r w:rsidRPr="00291C5A">
              <w:rPr>
                <w:sz w:val="22"/>
              </w:rPr>
              <w:t>$75,765 - $107,818</w:t>
            </w:r>
          </w:p>
        </w:tc>
        <w:tc>
          <w:tcPr>
            <w:tcW w:w="2160" w:type="dxa"/>
            <w:noWrap/>
            <w:hideMark/>
          </w:tcPr>
          <w:p w14:paraId="7A6DEC21" w14:textId="02402FD2" w:rsidR="00291C5A" w:rsidRPr="00291C5A" w:rsidRDefault="00291C5A" w:rsidP="00291C5A">
            <w:pPr>
              <w:jc w:val="center"/>
              <w:rPr>
                <w:sz w:val="22"/>
              </w:rPr>
            </w:pPr>
            <w:r w:rsidRPr="00291C5A">
              <w:rPr>
                <w:sz w:val="22"/>
              </w:rPr>
              <w:t>$107,819+</w:t>
            </w:r>
          </w:p>
        </w:tc>
      </w:tr>
      <w:tr w:rsidR="00291C5A" w:rsidRPr="001050BC" w14:paraId="2CAB9718" w14:textId="77777777" w:rsidTr="005C1890">
        <w:trPr>
          <w:trHeight w:val="261"/>
        </w:trPr>
        <w:tc>
          <w:tcPr>
            <w:tcW w:w="2335" w:type="dxa"/>
            <w:shd w:val="clear" w:color="auto" w:fill="F2F2F2" w:themeFill="background1" w:themeFillShade="F2"/>
            <w:noWrap/>
            <w:vAlign w:val="center"/>
            <w:hideMark/>
          </w:tcPr>
          <w:p w14:paraId="75320994" w14:textId="77777777" w:rsidR="00291C5A" w:rsidRPr="00223D9F" w:rsidRDefault="00291C5A" w:rsidP="00291C5A">
            <w:pPr>
              <w:jc w:val="center"/>
              <w:rPr>
                <w:sz w:val="22"/>
              </w:rPr>
            </w:pPr>
            <w:r w:rsidRPr="00223D9F">
              <w:rPr>
                <w:sz w:val="22"/>
              </w:rPr>
              <w:t>12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  <w:hideMark/>
          </w:tcPr>
          <w:p w14:paraId="1BA66482" w14:textId="1DE9AF15" w:rsidR="00291C5A" w:rsidRPr="00223D9F" w:rsidRDefault="00291C5A" w:rsidP="00291C5A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$0 - $81,666</w:t>
            </w:r>
          </w:p>
        </w:tc>
        <w:tc>
          <w:tcPr>
            <w:tcW w:w="3060" w:type="dxa"/>
            <w:shd w:val="clear" w:color="auto" w:fill="F2F2F2" w:themeFill="background1" w:themeFillShade="F2"/>
            <w:noWrap/>
            <w:hideMark/>
          </w:tcPr>
          <w:p w14:paraId="596A9EE0" w14:textId="3F48728A" w:rsidR="00291C5A" w:rsidRPr="00291C5A" w:rsidRDefault="00291C5A" w:rsidP="00291C5A">
            <w:pPr>
              <w:jc w:val="center"/>
              <w:rPr>
                <w:sz w:val="22"/>
              </w:rPr>
            </w:pPr>
            <w:r w:rsidRPr="00291C5A">
              <w:rPr>
                <w:sz w:val="22"/>
              </w:rPr>
              <w:t>$81,667 - $116,217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14:paraId="6A5DD46F" w14:textId="2B9AE1F0" w:rsidR="00291C5A" w:rsidRPr="00291C5A" w:rsidRDefault="00291C5A" w:rsidP="00291C5A">
            <w:pPr>
              <w:jc w:val="center"/>
              <w:rPr>
                <w:sz w:val="22"/>
              </w:rPr>
            </w:pPr>
            <w:r w:rsidRPr="00291C5A">
              <w:rPr>
                <w:sz w:val="22"/>
              </w:rPr>
              <w:t>$116,218+</w:t>
            </w:r>
          </w:p>
        </w:tc>
      </w:tr>
      <w:tr w:rsidR="00291C5A" w:rsidRPr="001050BC" w14:paraId="7B086D41" w14:textId="77777777" w:rsidTr="005C1890">
        <w:trPr>
          <w:trHeight w:val="261"/>
        </w:trPr>
        <w:tc>
          <w:tcPr>
            <w:tcW w:w="2335" w:type="dxa"/>
            <w:noWrap/>
            <w:vAlign w:val="center"/>
            <w:hideMark/>
          </w:tcPr>
          <w:p w14:paraId="4DD0355B" w14:textId="77777777" w:rsidR="00291C5A" w:rsidRPr="00223D9F" w:rsidRDefault="00291C5A" w:rsidP="00291C5A">
            <w:pPr>
              <w:jc w:val="center"/>
              <w:rPr>
                <w:sz w:val="22"/>
              </w:rPr>
            </w:pPr>
            <w:r w:rsidRPr="00223D9F">
              <w:rPr>
                <w:sz w:val="22"/>
              </w:rPr>
              <w:t>13</w:t>
            </w:r>
          </w:p>
        </w:tc>
        <w:tc>
          <w:tcPr>
            <w:tcW w:w="1800" w:type="dxa"/>
            <w:noWrap/>
            <w:vAlign w:val="bottom"/>
            <w:hideMark/>
          </w:tcPr>
          <w:p w14:paraId="479BC265" w14:textId="5E5CD1FA" w:rsidR="00291C5A" w:rsidRPr="00223D9F" w:rsidRDefault="00291C5A" w:rsidP="00291C5A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$0 - $87,568</w:t>
            </w:r>
          </w:p>
        </w:tc>
        <w:tc>
          <w:tcPr>
            <w:tcW w:w="3060" w:type="dxa"/>
            <w:noWrap/>
            <w:hideMark/>
          </w:tcPr>
          <w:p w14:paraId="3D7D6A78" w14:textId="2EB57226" w:rsidR="00291C5A" w:rsidRPr="00291C5A" w:rsidRDefault="00291C5A" w:rsidP="00291C5A">
            <w:pPr>
              <w:jc w:val="center"/>
              <w:rPr>
                <w:sz w:val="22"/>
              </w:rPr>
            </w:pPr>
            <w:r w:rsidRPr="00291C5A">
              <w:rPr>
                <w:sz w:val="22"/>
              </w:rPr>
              <w:t>$87,569 - $124,616</w:t>
            </w:r>
          </w:p>
        </w:tc>
        <w:tc>
          <w:tcPr>
            <w:tcW w:w="2160" w:type="dxa"/>
            <w:noWrap/>
            <w:hideMark/>
          </w:tcPr>
          <w:p w14:paraId="0F6A45E7" w14:textId="5CF73CB9" w:rsidR="00291C5A" w:rsidRPr="00291C5A" w:rsidRDefault="00291C5A" w:rsidP="00291C5A">
            <w:pPr>
              <w:jc w:val="center"/>
              <w:rPr>
                <w:sz w:val="22"/>
              </w:rPr>
            </w:pPr>
            <w:r w:rsidRPr="00291C5A">
              <w:rPr>
                <w:sz w:val="22"/>
              </w:rPr>
              <w:t>$124,617+</w:t>
            </w:r>
          </w:p>
        </w:tc>
      </w:tr>
      <w:tr w:rsidR="00291C5A" w:rsidRPr="001050BC" w14:paraId="77452DF5" w14:textId="77777777" w:rsidTr="005C1890">
        <w:trPr>
          <w:trHeight w:val="261"/>
        </w:trPr>
        <w:tc>
          <w:tcPr>
            <w:tcW w:w="2335" w:type="dxa"/>
            <w:shd w:val="clear" w:color="auto" w:fill="F2F2F2" w:themeFill="background1" w:themeFillShade="F2"/>
            <w:noWrap/>
            <w:vAlign w:val="center"/>
            <w:hideMark/>
          </w:tcPr>
          <w:p w14:paraId="0D545B9D" w14:textId="77777777" w:rsidR="00291C5A" w:rsidRPr="00223D9F" w:rsidRDefault="00291C5A" w:rsidP="00291C5A">
            <w:pPr>
              <w:jc w:val="center"/>
              <w:rPr>
                <w:sz w:val="22"/>
              </w:rPr>
            </w:pPr>
            <w:r w:rsidRPr="00223D9F">
              <w:rPr>
                <w:sz w:val="22"/>
              </w:rPr>
              <w:t>14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  <w:hideMark/>
          </w:tcPr>
          <w:p w14:paraId="784B5965" w14:textId="04D59BE4" w:rsidR="00291C5A" w:rsidRPr="00223D9F" w:rsidRDefault="00291C5A" w:rsidP="00291C5A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$0 - $93,470</w:t>
            </w:r>
          </w:p>
        </w:tc>
        <w:tc>
          <w:tcPr>
            <w:tcW w:w="3060" w:type="dxa"/>
            <w:shd w:val="clear" w:color="auto" w:fill="F2F2F2" w:themeFill="background1" w:themeFillShade="F2"/>
            <w:noWrap/>
            <w:hideMark/>
          </w:tcPr>
          <w:p w14:paraId="7DB15CD7" w14:textId="47BD7B66" w:rsidR="00291C5A" w:rsidRPr="00291C5A" w:rsidRDefault="00291C5A" w:rsidP="00291C5A">
            <w:pPr>
              <w:jc w:val="center"/>
              <w:rPr>
                <w:sz w:val="22"/>
              </w:rPr>
            </w:pPr>
            <w:r w:rsidRPr="00291C5A">
              <w:rPr>
                <w:sz w:val="22"/>
              </w:rPr>
              <w:t>$93,471 - $133,015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14:paraId="1843ACB4" w14:textId="1B6A4E00" w:rsidR="00291C5A" w:rsidRPr="00291C5A" w:rsidRDefault="00291C5A" w:rsidP="00291C5A">
            <w:pPr>
              <w:jc w:val="center"/>
              <w:rPr>
                <w:sz w:val="22"/>
              </w:rPr>
            </w:pPr>
            <w:r w:rsidRPr="00291C5A">
              <w:rPr>
                <w:sz w:val="22"/>
              </w:rPr>
              <w:t>$133,016+</w:t>
            </w:r>
          </w:p>
        </w:tc>
      </w:tr>
      <w:tr w:rsidR="00291C5A" w:rsidRPr="001050BC" w14:paraId="790C3892" w14:textId="77777777" w:rsidTr="005C1890">
        <w:trPr>
          <w:trHeight w:val="221"/>
        </w:trPr>
        <w:tc>
          <w:tcPr>
            <w:tcW w:w="2335" w:type="dxa"/>
            <w:noWrap/>
            <w:vAlign w:val="center"/>
            <w:hideMark/>
          </w:tcPr>
          <w:p w14:paraId="34011587" w14:textId="77777777" w:rsidR="00291C5A" w:rsidRPr="00223D9F" w:rsidRDefault="00291C5A" w:rsidP="00291C5A">
            <w:pPr>
              <w:jc w:val="center"/>
              <w:rPr>
                <w:sz w:val="22"/>
              </w:rPr>
            </w:pPr>
            <w:r w:rsidRPr="00223D9F">
              <w:rPr>
                <w:sz w:val="22"/>
              </w:rPr>
              <w:t>15</w:t>
            </w:r>
          </w:p>
        </w:tc>
        <w:tc>
          <w:tcPr>
            <w:tcW w:w="1800" w:type="dxa"/>
            <w:noWrap/>
            <w:vAlign w:val="bottom"/>
            <w:hideMark/>
          </w:tcPr>
          <w:p w14:paraId="28A3A9E5" w14:textId="15FF0694" w:rsidR="00291C5A" w:rsidRPr="00223D9F" w:rsidRDefault="00291C5A" w:rsidP="00291C5A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$0 - $99,372</w:t>
            </w:r>
          </w:p>
        </w:tc>
        <w:tc>
          <w:tcPr>
            <w:tcW w:w="3060" w:type="dxa"/>
            <w:noWrap/>
            <w:hideMark/>
          </w:tcPr>
          <w:p w14:paraId="29B98578" w14:textId="05753DD5" w:rsidR="00291C5A" w:rsidRPr="00291C5A" w:rsidRDefault="00291C5A" w:rsidP="00291C5A">
            <w:pPr>
              <w:jc w:val="center"/>
              <w:rPr>
                <w:sz w:val="22"/>
              </w:rPr>
            </w:pPr>
            <w:r w:rsidRPr="00291C5A">
              <w:rPr>
                <w:sz w:val="22"/>
              </w:rPr>
              <w:t>$99,373 - $141,414</w:t>
            </w:r>
          </w:p>
        </w:tc>
        <w:tc>
          <w:tcPr>
            <w:tcW w:w="2160" w:type="dxa"/>
            <w:noWrap/>
            <w:hideMark/>
          </w:tcPr>
          <w:p w14:paraId="4D4206D0" w14:textId="740C8CCE" w:rsidR="00291C5A" w:rsidRPr="00291C5A" w:rsidRDefault="00291C5A" w:rsidP="00291C5A">
            <w:pPr>
              <w:jc w:val="center"/>
              <w:rPr>
                <w:sz w:val="22"/>
              </w:rPr>
            </w:pPr>
            <w:r w:rsidRPr="00291C5A">
              <w:rPr>
                <w:sz w:val="22"/>
              </w:rPr>
              <w:t>$141,415+</w:t>
            </w:r>
          </w:p>
        </w:tc>
      </w:tr>
      <w:tr w:rsidR="00223D9F" w:rsidRPr="001050BC" w14:paraId="014B47DA" w14:textId="77777777" w:rsidTr="005F4E08">
        <w:trPr>
          <w:trHeight w:val="280"/>
        </w:trPr>
        <w:tc>
          <w:tcPr>
            <w:tcW w:w="2335" w:type="dxa"/>
            <w:shd w:val="clear" w:color="auto" w:fill="F2F2F2" w:themeFill="background1" w:themeFillShade="F2"/>
            <w:noWrap/>
            <w:vAlign w:val="center"/>
            <w:hideMark/>
          </w:tcPr>
          <w:p w14:paraId="64E31F2A" w14:textId="42814382" w:rsidR="001050BC" w:rsidRPr="00223D9F" w:rsidRDefault="001050BC" w:rsidP="004E5EA4">
            <w:pPr>
              <w:jc w:val="center"/>
              <w:rPr>
                <w:b/>
                <w:bCs/>
                <w:sz w:val="22"/>
              </w:rPr>
            </w:pPr>
            <w:r w:rsidRPr="00223D9F">
              <w:rPr>
                <w:b/>
                <w:bCs/>
                <w:sz w:val="22"/>
              </w:rPr>
              <w:t>Ea</w:t>
            </w:r>
            <w:r w:rsidR="004E5EA4">
              <w:rPr>
                <w:b/>
                <w:bCs/>
                <w:sz w:val="22"/>
              </w:rPr>
              <w:t>ch</w:t>
            </w:r>
            <w:r w:rsidRPr="00223D9F">
              <w:rPr>
                <w:b/>
                <w:bCs/>
                <w:sz w:val="22"/>
              </w:rPr>
              <w:t xml:space="preserve"> Add</w:t>
            </w:r>
            <w:r w:rsidR="004E5EA4">
              <w:rPr>
                <w:b/>
                <w:bCs/>
                <w:sz w:val="22"/>
              </w:rPr>
              <w:t>itional</w:t>
            </w:r>
            <w:r w:rsidRPr="00223D9F">
              <w:rPr>
                <w:b/>
                <w:bCs/>
                <w:sz w:val="22"/>
              </w:rPr>
              <w:t xml:space="preserve"> Person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  <w:hideMark/>
          </w:tcPr>
          <w:p w14:paraId="782F7E46" w14:textId="162837C5" w:rsidR="001050BC" w:rsidRPr="00223D9F" w:rsidRDefault="002D0C66" w:rsidP="004E5EA4">
            <w:pPr>
              <w:jc w:val="center"/>
              <w:rPr>
                <w:b/>
                <w:bCs/>
                <w:sz w:val="22"/>
              </w:rPr>
            </w:pPr>
            <w:r w:rsidRPr="00223D9F">
              <w:rPr>
                <w:b/>
                <w:bCs/>
                <w:sz w:val="22"/>
              </w:rPr>
              <w:t>Add $</w:t>
            </w:r>
            <w:r w:rsidR="004658B0" w:rsidRPr="00223D9F">
              <w:rPr>
                <w:b/>
                <w:bCs/>
                <w:sz w:val="22"/>
              </w:rPr>
              <w:t>5,</w:t>
            </w:r>
            <w:r w:rsidR="00291C5A">
              <w:rPr>
                <w:b/>
                <w:bCs/>
                <w:sz w:val="22"/>
              </w:rPr>
              <w:t>902</w:t>
            </w:r>
          </w:p>
        </w:tc>
        <w:tc>
          <w:tcPr>
            <w:tcW w:w="3060" w:type="dxa"/>
            <w:shd w:val="clear" w:color="auto" w:fill="F2F2F2" w:themeFill="background1" w:themeFillShade="F2"/>
            <w:noWrap/>
            <w:vAlign w:val="center"/>
            <w:hideMark/>
          </w:tcPr>
          <w:p w14:paraId="510C3279" w14:textId="78372A96" w:rsidR="001050BC" w:rsidRPr="00223D9F" w:rsidRDefault="001050BC" w:rsidP="004E5EA4">
            <w:pPr>
              <w:jc w:val="center"/>
              <w:rPr>
                <w:b/>
                <w:bCs/>
                <w:sz w:val="22"/>
              </w:rPr>
            </w:pPr>
            <w:r w:rsidRPr="00223D9F">
              <w:rPr>
                <w:b/>
                <w:bCs/>
                <w:sz w:val="22"/>
              </w:rPr>
              <w:t>+</w:t>
            </w:r>
            <w:r w:rsidR="00CF7A9F" w:rsidRPr="00223D9F">
              <w:rPr>
                <w:b/>
                <w:bCs/>
                <w:sz w:val="22"/>
              </w:rPr>
              <w:t>5,</w:t>
            </w:r>
            <w:r w:rsidR="00291C5A">
              <w:rPr>
                <w:b/>
                <w:bCs/>
                <w:sz w:val="22"/>
              </w:rPr>
              <w:t>903</w:t>
            </w:r>
            <w:r w:rsidRPr="00223D9F">
              <w:rPr>
                <w:b/>
                <w:bCs/>
                <w:sz w:val="22"/>
              </w:rPr>
              <w:t xml:space="preserve"> for min/+</w:t>
            </w:r>
            <w:r w:rsidR="0015161F" w:rsidRPr="00223D9F">
              <w:rPr>
                <w:b/>
                <w:bCs/>
                <w:sz w:val="22"/>
              </w:rPr>
              <w:t>8</w:t>
            </w:r>
            <w:r w:rsidR="00CF7A9F" w:rsidRPr="00223D9F">
              <w:rPr>
                <w:b/>
                <w:bCs/>
                <w:sz w:val="22"/>
              </w:rPr>
              <w:t>,</w:t>
            </w:r>
            <w:r w:rsidR="00291C5A">
              <w:rPr>
                <w:b/>
                <w:bCs/>
                <w:sz w:val="22"/>
              </w:rPr>
              <w:t>399</w:t>
            </w:r>
            <w:r w:rsidR="00CF7A9F" w:rsidRPr="00223D9F">
              <w:rPr>
                <w:b/>
                <w:bCs/>
                <w:sz w:val="22"/>
              </w:rPr>
              <w:t xml:space="preserve"> </w:t>
            </w:r>
            <w:r w:rsidRPr="00223D9F">
              <w:rPr>
                <w:b/>
                <w:bCs/>
                <w:sz w:val="22"/>
              </w:rPr>
              <w:t>for max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14:paraId="5BF92D4A" w14:textId="2772260E" w:rsidR="001050BC" w:rsidRPr="00223D9F" w:rsidRDefault="001050BC" w:rsidP="004E5EA4">
            <w:pPr>
              <w:jc w:val="center"/>
              <w:rPr>
                <w:b/>
                <w:bCs/>
                <w:sz w:val="22"/>
              </w:rPr>
            </w:pPr>
            <w:r w:rsidRPr="00223D9F">
              <w:rPr>
                <w:b/>
                <w:bCs/>
                <w:sz w:val="22"/>
              </w:rPr>
              <w:t>Add $</w:t>
            </w:r>
            <w:r w:rsidR="0015161F" w:rsidRPr="00223D9F">
              <w:rPr>
                <w:b/>
                <w:bCs/>
                <w:sz w:val="22"/>
              </w:rPr>
              <w:t>8,</w:t>
            </w:r>
            <w:r w:rsidR="00291C5A">
              <w:rPr>
                <w:b/>
                <w:bCs/>
                <w:sz w:val="22"/>
              </w:rPr>
              <w:t>399</w:t>
            </w:r>
          </w:p>
        </w:tc>
      </w:tr>
    </w:tbl>
    <w:p w14:paraId="4010331D" w14:textId="77777777" w:rsidR="001050BC" w:rsidRPr="00AD16EE" w:rsidRDefault="001050BC" w:rsidP="005F4E08"/>
    <w:sectPr w:rsidR="001050BC" w:rsidRPr="00AD16EE" w:rsidSect="005B0E3B">
      <w:pgSz w:w="12240" w:h="15840"/>
      <w:pgMar w:top="576" w:right="720" w:bottom="576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3E9B"/>
    <w:multiLevelType w:val="hybridMultilevel"/>
    <w:tmpl w:val="485C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83F7C"/>
    <w:multiLevelType w:val="hybridMultilevel"/>
    <w:tmpl w:val="6798D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DB6B7D"/>
    <w:multiLevelType w:val="hybridMultilevel"/>
    <w:tmpl w:val="D6286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D56122"/>
    <w:multiLevelType w:val="hybridMultilevel"/>
    <w:tmpl w:val="D800F128"/>
    <w:lvl w:ilvl="0" w:tplc="2BB073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1567E"/>
    <w:multiLevelType w:val="hybridMultilevel"/>
    <w:tmpl w:val="7D244540"/>
    <w:lvl w:ilvl="0" w:tplc="611AB9A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2D"/>
    <w:rsid w:val="000016C8"/>
    <w:rsid w:val="00011333"/>
    <w:rsid w:val="00055891"/>
    <w:rsid w:val="000B373A"/>
    <w:rsid w:val="000B559E"/>
    <w:rsid w:val="000C4687"/>
    <w:rsid w:val="000D04D3"/>
    <w:rsid w:val="0010185B"/>
    <w:rsid w:val="00101F8F"/>
    <w:rsid w:val="00103C34"/>
    <w:rsid w:val="001050BC"/>
    <w:rsid w:val="0015161F"/>
    <w:rsid w:val="001A0F4D"/>
    <w:rsid w:val="001B6A0C"/>
    <w:rsid w:val="001E7895"/>
    <w:rsid w:val="001E7E2D"/>
    <w:rsid w:val="00223D9F"/>
    <w:rsid w:val="0025050B"/>
    <w:rsid w:val="00253836"/>
    <w:rsid w:val="0029093D"/>
    <w:rsid w:val="00291C5A"/>
    <w:rsid w:val="002B519D"/>
    <w:rsid w:val="002B5A0A"/>
    <w:rsid w:val="002C452F"/>
    <w:rsid w:val="002D0C66"/>
    <w:rsid w:val="002F0579"/>
    <w:rsid w:val="0030053C"/>
    <w:rsid w:val="00363F5C"/>
    <w:rsid w:val="00385A9E"/>
    <w:rsid w:val="003B3B9E"/>
    <w:rsid w:val="003C46F3"/>
    <w:rsid w:val="00423A79"/>
    <w:rsid w:val="004658B0"/>
    <w:rsid w:val="004B62A3"/>
    <w:rsid w:val="004E5EA4"/>
    <w:rsid w:val="00592212"/>
    <w:rsid w:val="005B0E3B"/>
    <w:rsid w:val="005C4BFB"/>
    <w:rsid w:val="005D556B"/>
    <w:rsid w:val="005E0732"/>
    <w:rsid w:val="005F4E08"/>
    <w:rsid w:val="00617072"/>
    <w:rsid w:val="0063449D"/>
    <w:rsid w:val="00650D4D"/>
    <w:rsid w:val="00661905"/>
    <w:rsid w:val="006D4EC9"/>
    <w:rsid w:val="00746E7B"/>
    <w:rsid w:val="007A4AAD"/>
    <w:rsid w:val="007D143C"/>
    <w:rsid w:val="007D3278"/>
    <w:rsid w:val="007F2BE9"/>
    <w:rsid w:val="0080146E"/>
    <w:rsid w:val="008043D9"/>
    <w:rsid w:val="008118D1"/>
    <w:rsid w:val="00811A37"/>
    <w:rsid w:val="0083094C"/>
    <w:rsid w:val="00830BDF"/>
    <w:rsid w:val="00875600"/>
    <w:rsid w:val="00885E99"/>
    <w:rsid w:val="008C593E"/>
    <w:rsid w:val="008D5443"/>
    <w:rsid w:val="008E23E8"/>
    <w:rsid w:val="0091010A"/>
    <w:rsid w:val="0095024F"/>
    <w:rsid w:val="0097550F"/>
    <w:rsid w:val="00975ED2"/>
    <w:rsid w:val="009B0A51"/>
    <w:rsid w:val="009C2817"/>
    <w:rsid w:val="009C4818"/>
    <w:rsid w:val="009E0098"/>
    <w:rsid w:val="009F53AC"/>
    <w:rsid w:val="00A01817"/>
    <w:rsid w:val="00A0257F"/>
    <w:rsid w:val="00A030E2"/>
    <w:rsid w:val="00A175FE"/>
    <w:rsid w:val="00A20E96"/>
    <w:rsid w:val="00A30E2A"/>
    <w:rsid w:val="00A51C1A"/>
    <w:rsid w:val="00AB25AD"/>
    <w:rsid w:val="00AD16EE"/>
    <w:rsid w:val="00B1170A"/>
    <w:rsid w:val="00B62705"/>
    <w:rsid w:val="00B65E28"/>
    <w:rsid w:val="00BA0078"/>
    <w:rsid w:val="00BA5579"/>
    <w:rsid w:val="00BC1367"/>
    <w:rsid w:val="00C23B4D"/>
    <w:rsid w:val="00C705AE"/>
    <w:rsid w:val="00CB6ACD"/>
    <w:rsid w:val="00CE03AA"/>
    <w:rsid w:val="00CF40BC"/>
    <w:rsid w:val="00CF7A9F"/>
    <w:rsid w:val="00D32461"/>
    <w:rsid w:val="00D6404D"/>
    <w:rsid w:val="00D702A4"/>
    <w:rsid w:val="00D7426F"/>
    <w:rsid w:val="00DD20E3"/>
    <w:rsid w:val="00DE17F6"/>
    <w:rsid w:val="00E05602"/>
    <w:rsid w:val="00E233A3"/>
    <w:rsid w:val="00E63BC8"/>
    <w:rsid w:val="00E6677A"/>
    <w:rsid w:val="00E7117E"/>
    <w:rsid w:val="00E817DE"/>
    <w:rsid w:val="00E95E11"/>
    <w:rsid w:val="00EA0038"/>
    <w:rsid w:val="00EB5B93"/>
    <w:rsid w:val="00ED28B1"/>
    <w:rsid w:val="00F01010"/>
    <w:rsid w:val="00F01486"/>
    <w:rsid w:val="00F40521"/>
    <w:rsid w:val="00F7241A"/>
    <w:rsid w:val="00F86B8C"/>
    <w:rsid w:val="00F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D1E2"/>
  <w15:chartTrackingRefBased/>
  <w15:docId w15:val="{3088C0E5-E6F0-4321-851B-90E3223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E3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078"/>
    <w:pPr>
      <w:spacing w:after="0" w:line="276" w:lineRule="auto"/>
      <w:jc w:val="center"/>
      <w:outlineLvl w:val="0"/>
    </w:pPr>
    <w:rPr>
      <w:b/>
      <w:sz w:val="2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078"/>
    <w:pPr>
      <w:shd w:val="clear" w:color="auto" w:fill="D9D9D9" w:themeFill="background1" w:themeFillShade="D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5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0078"/>
    <w:rPr>
      <w:b/>
      <w:sz w:val="2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A0078"/>
    <w:rPr>
      <w:b/>
      <w:shd w:val="clear" w:color="auto" w:fill="D9D9D9" w:themeFill="background1" w:themeFillShade="D9"/>
    </w:rPr>
  </w:style>
  <w:style w:type="character" w:styleId="Hyperlink">
    <w:name w:val="Hyperlink"/>
    <w:basedOn w:val="DefaultParagraphFont"/>
    <w:uiPriority w:val="99"/>
    <w:unhideWhenUsed/>
    <w:rsid w:val="00BA0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07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030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3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e.nj.us/education/finance/ce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Quick Reference Guide for Schools Participating in CEP</dc:title>
  <dc:subject/>
  <dc:creator>Nidhi, Amrita</dc:creator>
  <cp:keywords/>
  <dc:description/>
  <cp:lastModifiedBy>Ecks, Susan</cp:lastModifiedBy>
  <cp:revision>5</cp:revision>
  <cp:lastPrinted>2017-03-31T16:57:00Z</cp:lastPrinted>
  <dcterms:created xsi:type="dcterms:W3CDTF">2020-04-27T15:38:00Z</dcterms:created>
  <dcterms:modified xsi:type="dcterms:W3CDTF">2021-06-25T18:49:00Z</dcterms:modified>
</cp:coreProperties>
</file>